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36A5" w:rsidRDefault="00F736A5" w:rsidP="00F736A5">
      <w:pPr>
        <w:jc w:val="center"/>
        <w:rPr>
          <w:rFonts w:asciiTheme="minorHAnsi" w:hAnsiTheme="minorHAnsi" w:cstheme="minorHAnsi"/>
          <w:b/>
          <w:sz w:val="22"/>
          <w:szCs w:val="22"/>
        </w:rPr>
      </w:pPr>
      <w:r>
        <w:rPr>
          <w:rFonts w:asciiTheme="minorHAnsi" w:hAnsiTheme="minorHAnsi" w:cstheme="minorHAnsi"/>
          <w:b/>
          <w:sz w:val="22"/>
          <w:szCs w:val="22"/>
        </w:rPr>
        <w:t>Will China’s Credit Boom End in a Bust?</w:t>
      </w:r>
    </w:p>
    <w:p w:rsidR="00F736A5" w:rsidRDefault="00F736A5" w:rsidP="00F736A5">
      <w:pPr>
        <w:jc w:val="center"/>
        <w:rPr>
          <w:rFonts w:asciiTheme="minorHAnsi" w:hAnsiTheme="minorHAnsi" w:cstheme="minorHAnsi"/>
          <w:b/>
          <w:sz w:val="22"/>
          <w:szCs w:val="22"/>
        </w:rPr>
      </w:pPr>
    </w:p>
    <w:p w:rsidR="00F736A5" w:rsidRDefault="00F736A5" w:rsidP="00F736A5">
      <w:pPr>
        <w:jc w:val="center"/>
        <w:rPr>
          <w:rFonts w:asciiTheme="minorHAnsi" w:hAnsiTheme="minorHAnsi" w:cstheme="minorHAnsi"/>
          <w:sz w:val="22"/>
          <w:szCs w:val="22"/>
        </w:rPr>
      </w:pPr>
      <w:r>
        <w:rPr>
          <w:rFonts w:asciiTheme="minorHAnsi" w:hAnsiTheme="minorHAnsi" w:cstheme="minorHAnsi"/>
          <w:sz w:val="22"/>
          <w:szCs w:val="22"/>
        </w:rPr>
        <w:t>By J. Scott Davis, Adrienne Mack, Wesley Phoa, and Anne Vandenabeele</w:t>
      </w:r>
    </w:p>
    <w:p w:rsidR="00F34094" w:rsidRDefault="00F34094" w:rsidP="00F736A5">
      <w:pPr>
        <w:jc w:val="center"/>
        <w:rPr>
          <w:rFonts w:asciiTheme="minorHAnsi" w:hAnsiTheme="minorHAnsi" w:cstheme="minorHAnsi"/>
          <w:sz w:val="22"/>
          <w:szCs w:val="22"/>
        </w:rPr>
      </w:pPr>
    </w:p>
    <w:p w:rsidR="00F34094" w:rsidRPr="00F736A5" w:rsidRDefault="00F34094" w:rsidP="00F736A5">
      <w:pPr>
        <w:jc w:val="center"/>
        <w:rPr>
          <w:rFonts w:asciiTheme="minorHAnsi" w:hAnsiTheme="minorHAnsi" w:cstheme="minorHAnsi"/>
          <w:sz w:val="22"/>
          <w:szCs w:val="22"/>
        </w:rPr>
      </w:pPr>
      <w:r>
        <w:rPr>
          <w:rFonts w:asciiTheme="minorHAnsi" w:hAnsiTheme="minorHAnsi" w:cstheme="minorHAnsi"/>
          <w:sz w:val="22"/>
          <w:szCs w:val="22"/>
        </w:rPr>
        <w:t>October 2014</w:t>
      </w:r>
    </w:p>
    <w:p w:rsidR="00990FEB" w:rsidRPr="007223A6" w:rsidRDefault="00990FEB" w:rsidP="007223A6">
      <w:pPr>
        <w:jc w:val="both"/>
        <w:rPr>
          <w:rFonts w:asciiTheme="minorHAnsi" w:hAnsiTheme="minorHAnsi" w:cstheme="minorHAnsi"/>
          <w:i/>
          <w:sz w:val="22"/>
          <w:szCs w:val="22"/>
        </w:rPr>
      </w:pPr>
    </w:p>
    <w:p w:rsidR="00990FEB" w:rsidRPr="007223A6" w:rsidRDefault="00990FEB" w:rsidP="007223A6">
      <w:pPr>
        <w:jc w:val="both"/>
        <w:rPr>
          <w:rFonts w:asciiTheme="minorHAnsi" w:hAnsiTheme="minorHAnsi" w:cstheme="minorHAnsi"/>
          <w:sz w:val="22"/>
          <w:szCs w:val="22"/>
        </w:rPr>
      </w:pPr>
      <w:r w:rsidRPr="007223A6">
        <w:rPr>
          <w:rFonts w:asciiTheme="minorHAnsi" w:hAnsiTheme="minorHAnsi" w:cstheme="minorHAnsi"/>
          <w:sz w:val="22"/>
          <w:szCs w:val="22"/>
        </w:rPr>
        <w:tab/>
        <w:t xml:space="preserve">The worrying build-up of private sector credit in China over the past few years has begun to receive a lot of attention among analysts and in the financial press. </w:t>
      </w:r>
      <w:r w:rsidR="00706666">
        <w:rPr>
          <w:rFonts w:asciiTheme="minorHAnsi" w:hAnsiTheme="minorHAnsi" w:cstheme="minorHAnsi"/>
          <w:sz w:val="22"/>
          <w:szCs w:val="22"/>
        </w:rPr>
        <w:t>The accumulation of private sector debt in China over the last few years seems eerily familiar to past credit booms, most notably the credit boom in the Eurozone periphery prior to 2008.</w:t>
      </w:r>
    </w:p>
    <w:p w:rsidR="00990FEB" w:rsidRPr="007223A6" w:rsidRDefault="00990FEB" w:rsidP="007223A6">
      <w:pPr>
        <w:jc w:val="both"/>
        <w:rPr>
          <w:rFonts w:asciiTheme="minorHAnsi" w:hAnsiTheme="minorHAnsi" w:cstheme="minorHAnsi"/>
          <w:sz w:val="22"/>
          <w:szCs w:val="22"/>
        </w:rPr>
      </w:pPr>
    </w:p>
    <w:p w:rsidR="00990FEB" w:rsidRPr="007223A6" w:rsidRDefault="00990FEB" w:rsidP="007223A6">
      <w:pPr>
        <w:jc w:val="both"/>
        <w:rPr>
          <w:rFonts w:asciiTheme="minorHAnsi" w:hAnsiTheme="minorHAnsi" w:cstheme="minorHAnsi"/>
          <w:sz w:val="22"/>
          <w:szCs w:val="22"/>
        </w:rPr>
      </w:pPr>
      <w:r w:rsidRPr="007223A6">
        <w:rPr>
          <w:rFonts w:asciiTheme="minorHAnsi" w:hAnsiTheme="minorHAnsi" w:cstheme="minorHAnsi"/>
          <w:sz w:val="22"/>
          <w:szCs w:val="22"/>
        </w:rPr>
        <w:tab/>
      </w:r>
      <w:r w:rsidRPr="007223A6">
        <w:rPr>
          <w:rFonts w:asciiTheme="minorHAnsi" w:hAnsiTheme="minorHAnsi" w:cstheme="minorHAnsi"/>
          <w:b/>
          <w:sz w:val="22"/>
          <w:szCs w:val="22"/>
        </w:rPr>
        <w:fldChar w:fldCharType="begin"/>
      </w:r>
      <w:r w:rsidRPr="007223A6">
        <w:rPr>
          <w:rFonts w:asciiTheme="minorHAnsi" w:hAnsiTheme="minorHAnsi" w:cstheme="minorHAnsi"/>
          <w:b/>
          <w:sz w:val="22"/>
          <w:szCs w:val="22"/>
        </w:rPr>
        <w:instrText xml:space="preserve"> REF _Ref365543462 \h  \* MERGEFORMAT </w:instrText>
      </w:r>
      <w:r w:rsidRPr="007223A6">
        <w:rPr>
          <w:rFonts w:asciiTheme="minorHAnsi" w:hAnsiTheme="minorHAnsi" w:cstheme="minorHAnsi"/>
          <w:b/>
          <w:sz w:val="22"/>
          <w:szCs w:val="22"/>
        </w:rPr>
      </w:r>
      <w:r w:rsidRPr="007223A6">
        <w:rPr>
          <w:rFonts w:asciiTheme="minorHAnsi" w:hAnsiTheme="minorHAnsi" w:cstheme="minorHAnsi"/>
          <w:b/>
          <w:sz w:val="22"/>
          <w:szCs w:val="22"/>
        </w:rPr>
        <w:fldChar w:fldCharType="separate"/>
      </w:r>
      <w:r w:rsidR="00B66034" w:rsidRPr="00B66034">
        <w:rPr>
          <w:rFonts w:asciiTheme="minorHAnsi" w:hAnsiTheme="minorHAnsi" w:cstheme="minorHAnsi"/>
          <w:b/>
          <w:sz w:val="22"/>
          <w:szCs w:val="22"/>
        </w:rPr>
        <w:t xml:space="preserve">Chart </w:t>
      </w:r>
      <w:r w:rsidR="00B66034" w:rsidRPr="00B66034">
        <w:rPr>
          <w:rFonts w:asciiTheme="minorHAnsi" w:hAnsiTheme="minorHAnsi" w:cstheme="minorHAnsi"/>
          <w:b/>
          <w:noProof/>
          <w:sz w:val="22"/>
          <w:szCs w:val="22"/>
        </w:rPr>
        <w:t>1</w:t>
      </w:r>
      <w:r w:rsidRPr="007223A6">
        <w:rPr>
          <w:rFonts w:asciiTheme="minorHAnsi" w:hAnsiTheme="minorHAnsi" w:cstheme="minorHAnsi"/>
          <w:b/>
          <w:sz w:val="22"/>
          <w:szCs w:val="22"/>
        </w:rPr>
        <w:fldChar w:fldCharType="end"/>
      </w:r>
      <w:r w:rsidRPr="007223A6">
        <w:rPr>
          <w:rFonts w:asciiTheme="minorHAnsi" w:hAnsiTheme="minorHAnsi" w:cstheme="minorHAnsi"/>
          <w:sz w:val="22"/>
          <w:szCs w:val="22"/>
        </w:rPr>
        <w:t xml:space="preserve"> presents the ratio of private nonfinancial sector credit to GDP for China, the U.S., the Eurozone core, and the Eurozone periphery. The chart shows the familiar build-up in debt in the U.S. and the Eurozone periphery in the years to 2008. In the five years leading up to the collapse of Lehman brothers in September of 2008, the ratio of private nonfinancial credit to GDP in the U.S. rose from 140 percent to 170 percent and in the Eurozone periphery the same ratio increased from 114 percent to 168 percent. Meanwhile in the core of the Eurozone this ratio increased from 140 percent to 14</w:t>
      </w:r>
      <w:r w:rsidR="00706666">
        <w:rPr>
          <w:rFonts w:asciiTheme="minorHAnsi" w:hAnsiTheme="minorHAnsi" w:cstheme="minorHAnsi"/>
          <w:sz w:val="22"/>
          <w:szCs w:val="22"/>
        </w:rPr>
        <w:t>5</w:t>
      </w:r>
      <w:r w:rsidRPr="007223A6">
        <w:rPr>
          <w:rFonts w:asciiTheme="minorHAnsi" w:hAnsiTheme="minorHAnsi" w:cstheme="minorHAnsi"/>
          <w:sz w:val="22"/>
          <w:szCs w:val="22"/>
        </w:rPr>
        <w:t xml:space="preserve"> percent.</w:t>
      </w:r>
    </w:p>
    <w:p w:rsidR="00990FEB" w:rsidRPr="007223A6" w:rsidRDefault="00990FEB" w:rsidP="007223A6">
      <w:pPr>
        <w:jc w:val="both"/>
        <w:rPr>
          <w:rFonts w:asciiTheme="minorHAnsi" w:hAnsiTheme="minorHAnsi" w:cstheme="minorHAnsi"/>
          <w:sz w:val="22"/>
          <w:szCs w:val="22"/>
        </w:rPr>
      </w:pPr>
    </w:p>
    <w:p w:rsidR="00990FEB" w:rsidRPr="007223A6" w:rsidRDefault="00990FEB" w:rsidP="007223A6">
      <w:pPr>
        <w:jc w:val="both"/>
        <w:rPr>
          <w:rFonts w:asciiTheme="minorHAnsi" w:hAnsiTheme="minorHAnsi" w:cstheme="minorHAnsi"/>
          <w:sz w:val="22"/>
          <w:szCs w:val="22"/>
        </w:rPr>
      </w:pPr>
      <w:r w:rsidRPr="007223A6">
        <w:rPr>
          <w:rFonts w:asciiTheme="minorHAnsi" w:hAnsiTheme="minorHAnsi" w:cstheme="minorHAnsi"/>
          <w:sz w:val="22"/>
          <w:szCs w:val="22"/>
        </w:rPr>
        <w:tab/>
        <w:t>The chart sho</w:t>
      </w:r>
      <w:r w:rsidR="00375072">
        <w:rPr>
          <w:rFonts w:asciiTheme="minorHAnsi" w:hAnsiTheme="minorHAnsi" w:cstheme="minorHAnsi"/>
          <w:sz w:val="22"/>
          <w:szCs w:val="22"/>
        </w:rPr>
        <w:t>ws that in China there was no</w:t>
      </w:r>
      <w:r w:rsidRPr="007223A6">
        <w:rPr>
          <w:rFonts w:asciiTheme="minorHAnsi" w:hAnsiTheme="minorHAnsi" w:cstheme="minorHAnsi"/>
          <w:sz w:val="22"/>
          <w:szCs w:val="22"/>
        </w:rPr>
        <w:t xml:space="preserve"> build-up in </w:t>
      </w:r>
      <w:r w:rsidR="00FA294E">
        <w:rPr>
          <w:rFonts w:asciiTheme="minorHAnsi" w:hAnsiTheme="minorHAnsi" w:cstheme="minorHAnsi"/>
          <w:sz w:val="22"/>
          <w:szCs w:val="22"/>
        </w:rPr>
        <w:t>leverage</w:t>
      </w:r>
      <w:r w:rsidRPr="007223A6">
        <w:rPr>
          <w:rFonts w:asciiTheme="minorHAnsi" w:hAnsiTheme="minorHAnsi" w:cstheme="minorHAnsi"/>
          <w:sz w:val="22"/>
          <w:szCs w:val="22"/>
        </w:rPr>
        <w:t xml:space="preserve"> prior to the global financial crisis in 2008, but there was a </w:t>
      </w:r>
      <w:r w:rsidR="00FA294E">
        <w:rPr>
          <w:rFonts w:asciiTheme="minorHAnsi" w:hAnsiTheme="minorHAnsi" w:cstheme="minorHAnsi"/>
          <w:sz w:val="22"/>
          <w:szCs w:val="22"/>
        </w:rPr>
        <w:t>rapid rise in leverage</w:t>
      </w:r>
      <w:r w:rsidRPr="007223A6">
        <w:rPr>
          <w:rFonts w:asciiTheme="minorHAnsi" w:hAnsiTheme="minorHAnsi" w:cstheme="minorHAnsi"/>
          <w:sz w:val="22"/>
          <w:szCs w:val="22"/>
        </w:rPr>
        <w:t xml:space="preserve"> afterwards, mainly as a result of the government’s investment-led stimulus that dro</w:t>
      </w:r>
      <w:r w:rsidR="00375072">
        <w:rPr>
          <w:rFonts w:asciiTheme="minorHAnsi" w:hAnsiTheme="minorHAnsi" w:cstheme="minorHAnsi"/>
          <w:sz w:val="22"/>
          <w:szCs w:val="22"/>
        </w:rPr>
        <w:t>ve China’s (and some wou</w:t>
      </w:r>
      <w:r w:rsidRPr="007223A6">
        <w:rPr>
          <w:rFonts w:asciiTheme="minorHAnsi" w:hAnsiTheme="minorHAnsi" w:cstheme="minorHAnsi"/>
          <w:sz w:val="22"/>
          <w:szCs w:val="22"/>
        </w:rPr>
        <w:t xml:space="preserve">ld say the </w:t>
      </w:r>
      <w:r w:rsidR="00375072">
        <w:rPr>
          <w:rFonts w:asciiTheme="minorHAnsi" w:hAnsiTheme="minorHAnsi" w:cstheme="minorHAnsi"/>
          <w:sz w:val="22"/>
          <w:szCs w:val="22"/>
        </w:rPr>
        <w:t>w</w:t>
      </w:r>
      <w:r w:rsidRPr="007223A6">
        <w:rPr>
          <w:rFonts w:asciiTheme="minorHAnsi" w:hAnsiTheme="minorHAnsi" w:cstheme="minorHAnsi"/>
          <w:sz w:val="22"/>
          <w:szCs w:val="22"/>
        </w:rPr>
        <w:t xml:space="preserve">orld’s) recovery from the depths of the post-crisis recession. When Lehman </w:t>
      </w:r>
      <w:r w:rsidR="00375072">
        <w:rPr>
          <w:rFonts w:asciiTheme="minorHAnsi" w:hAnsiTheme="minorHAnsi" w:cstheme="minorHAnsi"/>
          <w:sz w:val="22"/>
          <w:szCs w:val="22"/>
        </w:rPr>
        <w:t>Brothers collapsed</w:t>
      </w:r>
      <w:r w:rsidRPr="007223A6">
        <w:rPr>
          <w:rFonts w:asciiTheme="minorHAnsi" w:hAnsiTheme="minorHAnsi" w:cstheme="minorHAnsi"/>
          <w:sz w:val="22"/>
          <w:szCs w:val="22"/>
        </w:rPr>
        <w:t xml:space="preserve">, the ratio of private nonfinancial credit to GDP in China was 115 percent. </w:t>
      </w:r>
      <w:r w:rsidR="00706666">
        <w:rPr>
          <w:rFonts w:asciiTheme="minorHAnsi" w:hAnsiTheme="minorHAnsi" w:cstheme="minorHAnsi"/>
          <w:sz w:val="22"/>
          <w:szCs w:val="22"/>
        </w:rPr>
        <w:t xml:space="preserve">Five years later this ratio was 178 percent. </w:t>
      </w:r>
      <w:r w:rsidRPr="007223A6">
        <w:rPr>
          <w:rFonts w:asciiTheme="minorHAnsi" w:hAnsiTheme="minorHAnsi" w:cstheme="minorHAnsi"/>
          <w:sz w:val="22"/>
          <w:szCs w:val="22"/>
        </w:rPr>
        <w:t xml:space="preserve">Thus the growth in private sector credit in China over the last few years is </w:t>
      </w:r>
      <w:r w:rsidR="00706666">
        <w:rPr>
          <w:rFonts w:asciiTheme="minorHAnsi" w:hAnsiTheme="minorHAnsi" w:cstheme="minorHAnsi"/>
          <w:sz w:val="22"/>
          <w:szCs w:val="22"/>
        </w:rPr>
        <w:t xml:space="preserve">slightly greater than </w:t>
      </w:r>
      <w:r w:rsidRPr="007223A6">
        <w:rPr>
          <w:rFonts w:asciiTheme="minorHAnsi" w:hAnsiTheme="minorHAnsi" w:cstheme="minorHAnsi"/>
          <w:sz w:val="22"/>
          <w:szCs w:val="22"/>
        </w:rPr>
        <w:t>the growth in the Eurozone periphery in the years leading up to 2008.</w:t>
      </w:r>
    </w:p>
    <w:p w:rsidR="00990FEB" w:rsidRPr="007223A6" w:rsidRDefault="00990FEB" w:rsidP="007223A6">
      <w:pPr>
        <w:jc w:val="both"/>
        <w:rPr>
          <w:rFonts w:asciiTheme="minorHAnsi" w:hAnsiTheme="minorHAnsi" w:cstheme="minorHAnsi"/>
          <w:i/>
          <w:sz w:val="22"/>
          <w:szCs w:val="22"/>
        </w:rPr>
      </w:pPr>
    </w:p>
    <w:p w:rsidR="00990FEB" w:rsidRPr="007223A6" w:rsidRDefault="00990FEB" w:rsidP="00983007">
      <w:pPr>
        <w:pStyle w:val="Caption"/>
        <w:keepNext/>
        <w:jc w:val="center"/>
        <w:rPr>
          <w:rFonts w:asciiTheme="minorHAnsi" w:hAnsiTheme="minorHAnsi" w:cstheme="minorHAnsi"/>
          <w:color w:val="auto"/>
          <w:sz w:val="22"/>
          <w:szCs w:val="22"/>
        </w:rPr>
      </w:pPr>
      <w:bookmarkStart w:id="0" w:name="_Ref365543462"/>
      <w:r w:rsidRPr="007223A6">
        <w:rPr>
          <w:rFonts w:asciiTheme="minorHAnsi" w:hAnsiTheme="minorHAnsi" w:cstheme="minorHAnsi"/>
          <w:color w:val="auto"/>
          <w:sz w:val="22"/>
          <w:szCs w:val="22"/>
        </w:rPr>
        <w:lastRenderedPageBreak/>
        <w:t xml:space="preserve">Chart </w:t>
      </w:r>
      <w:r w:rsidRPr="007223A6">
        <w:rPr>
          <w:rFonts w:asciiTheme="minorHAnsi" w:hAnsiTheme="minorHAnsi" w:cstheme="minorHAnsi"/>
          <w:color w:val="auto"/>
          <w:sz w:val="22"/>
          <w:szCs w:val="22"/>
        </w:rPr>
        <w:fldChar w:fldCharType="begin"/>
      </w:r>
      <w:r w:rsidRPr="007223A6">
        <w:rPr>
          <w:rFonts w:asciiTheme="minorHAnsi" w:hAnsiTheme="minorHAnsi" w:cstheme="minorHAnsi"/>
          <w:color w:val="auto"/>
          <w:sz w:val="22"/>
          <w:szCs w:val="22"/>
        </w:rPr>
        <w:instrText xml:space="preserve"> SEQ Chart \* ARABIC </w:instrText>
      </w:r>
      <w:r w:rsidRPr="007223A6">
        <w:rPr>
          <w:rFonts w:asciiTheme="minorHAnsi" w:hAnsiTheme="minorHAnsi" w:cstheme="minorHAnsi"/>
          <w:color w:val="auto"/>
          <w:sz w:val="22"/>
          <w:szCs w:val="22"/>
        </w:rPr>
        <w:fldChar w:fldCharType="separate"/>
      </w:r>
      <w:r w:rsidR="00B66034">
        <w:rPr>
          <w:rFonts w:asciiTheme="minorHAnsi" w:hAnsiTheme="minorHAnsi" w:cstheme="minorHAnsi"/>
          <w:noProof/>
          <w:color w:val="auto"/>
          <w:sz w:val="22"/>
          <w:szCs w:val="22"/>
        </w:rPr>
        <w:t>1</w:t>
      </w:r>
      <w:r w:rsidRPr="007223A6">
        <w:rPr>
          <w:rFonts w:asciiTheme="minorHAnsi" w:hAnsiTheme="minorHAnsi" w:cstheme="minorHAnsi"/>
          <w:color w:val="auto"/>
          <w:sz w:val="22"/>
          <w:szCs w:val="22"/>
        </w:rPr>
        <w:fldChar w:fldCharType="end"/>
      </w:r>
      <w:bookmarkEnd w:id="0"/>
      <w:r w:rsidR="00983007">
        <w:rPr>
          <w:rFonts w:asciiTheme="minorHAnsi" w:hAnsiTheme="minorHAnsi" w:cstheme="minorHAnsi"/>
          <w:color w:val="auto"/>
          <w:sz w:val="22"/>
          <w:szCs w:val="22"/>
        </w:rPr>
        <w:t>: Private sector credit in China has expanded rapidly since 200</w:t>
      </w:r>
      <w:r w:rsidR="00F43974">
        <w:rPr>
          <w:rFonts w:asciiTheme="minorHAnsi" w:hAnsiTheme="minorHAnsi" w:cstheme="minorHAnsi"/>
          <w:color w:val="auto"/>
          <w:sz w:val="22"/>
          <w:szCs w:val="22"/>
        </w:rPr>
        <w:t>9</w:t>
      </w:r>
    </w:p>
    <w:p w:rsidR="00990FEB" w:rsidRPr="007223A6" w:rsidRDefault="00F43974" w:rsidP="007223A6">
      <w:pPr>
        <w:jc w:val="center"/>
        <w:rPr>
          <w:rFonts w:asciiTheme="minorHAnsi" w:hAnsiTheme="minorHAnsi" w:cstheme="minorHAnsi"/>
          <w:i/>
          <w:sz w:val="22"/>
          <w:szCs w:val="22"/>
        </w:rPr>
      </w:pPr>
      <w:r w:rsidRPr="00F43974">
        <w:rPr>
          <w:noProof/>
        </w:rPr>
        <w:drawing>
          <wp:inline distT="0" distB="0" distL="0" distR="0" wp14:anchorId="357B0732" wp14:editId="4BCFD956">
            <wp:extent cx="5047488" cy="365760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7488" cy="3657600"/>
                    </a:xfrm>
                    <a:prstGeom prst="rect">
                      <a:avLst/>
                    </a:prstGeom>
                    <a:noFill/>
                    <a:ln>
                      <a:noFill/>
                    </a:ln>
                  </pic:spPr>
                </pic:pic>
              </a:graphicData>
            </a:graphic>
          </wp:inline>
        </w:drawing>
      </w:r>
    </w:p>
    <w:p w:rsidR="00990FEB" w:rsidRDefault="00990FEB" w:rsidP="007223A6">
      <w:pPr>
        <w:jc w:val="both"/>
        <w:rPr>
          <w:rFonts w:asciiTheme="minorHAnsi" w:hAnsiTheme="minorHAnsi" w:cstheme="minorHAnsi"/>
          <w:i/>
          <w:sz w:val="22"/>
          <w:szCs w:val="22"/>
        </w:rPr>
      </w:pPr>
    </w:p>
    <w:p w:rsidR="00B66034" w:rsidRPr="00983007" w:rsidRDefault="00983007" w:rsidP="00983007">
      <w:pPr>
        <w:jc w:val="both"/>
        <w:rPr>
          <w:rFonts w:asciiTheme="minorHAnsi" w:hAnsiTheme="minorHAnsi" w:cstheme="minorHAnsi"/>
          <w:i/>
          <w:sz w:val="22"/>
          <w:szCs w:val="22"/>
        </w:rPr>
      </w:pPr>
      <w:r>
        <w:rPr>
          <w:rFonts w:asciiTheme="minorHAnsi" w:hAnsiTheme="minorHAnsi" w:cstheme="minorHAnsi"/>
          <w:i/>
          <w:sz w:val="22"/>
          <w:szCs w:val="22"/>
        </w:rPr>
        <w:t>Credit growth in previous financial crises</w:t>
      </w:r>
    </w:p>
    <w:p w:rsidR="00B66034" w:rsidRDefault="00B66034" w:rsidP="00375072">
      <w:pPr>
        <w:ind w:left="765"/>
        <w:jc w:val="both"/>
        <w:rPr>
          <w:rFonts w:asciiTheme="minorHAnsi" w:hAnsiTheme="minorHAnsi" w:cstheme="minorHAnsi"/>
          <w:sz w:val="22"/>
          <w:szCs w:val="22"/>
        </w:rPr>
      </w:pPr>
    </w:p>
    <w:p w:rsidR="00375072" w:rsidRPr="007223A6" w:rsidRDefault="00375072" w:rsidP="00375072">
      <w:pPr>
        <w:ind w:firstLine="720"/>
        <w:jc w:val="both"/>
        <w:rPr>
          <w:rFonts w:asciiTheme="minorHAnsi" w:hAnsiTheme="minorHAnsi" w:cstheme="minorHAnsi"/>
          <w:sz w:val="22"/>
          <w:szCs w:val="22"/>
        </w:rPr>
      </w:pPr>
      <w:r w:rsidRPr="007223A6">
        <w:rPr>
          <w:rFonts w:asciiTheme="minorHAnsi" w:hAnsiTheme="minorHAnsi" w:cstheme="minorHAnsi"/>
          <w:sz w:val="22"/>
          <w:szCs w:val="22"/>
        </w:rPr>
        <w:t xml:space="preserve">However the absolute scale of credit growth </w:t>
      </w:r>
      <w:r w:rsidR="00FA294E">
        <w:rPr>
          <w:rFonts w:asciiTheme="minorHAnsi" w:hAnsiTheme="minorHAnsi" w:cstheme="minorHAnsi"/>
          <w:sz w:val="22"/>
          <w:szCs w:val="22"/>
        </w:rPr>
        <w:t xml:space="preserve">and leverage </w:t>
      </w:r>
      <w:r w:rsidRPr="007223A6">
        <w:rPr>
          <w:rFonts w:asciiTheme="minorHAnsi" w:hAnsiTheme="minorHAnsi" w:cstheme="minorHAnsi"/>
          <w:sz w:val="22"/>
          <w:szCs w:val="22"/>
        </w:rPr>
        <w:t xml:space="preserve">doesn’t tell the whole story. Over the past few years China has been an incredibly fast growing economy. Chinese per capita GDP increased by 34 percent from 2008 to 2012. As a country gets richer the amount of credit in the economy </w:t>
      </w:r>
      <w:r w:rsidR="00FA294E">
        <w:rPr>
          <w:rFonts w:asciiTheme="minorHAnsi" w:hAnsiTheme="minorHAnsi" w:cstheme="minorHAnsi"/>
          <w:sz w:val="22"/>
          <w:szCs w:val="22"/>
        </w:rPr>
        <w:t xml:space="preserve">tends to increase because </w:t>
      </w:r>
      <w:r w:rsidR="002E1491">
        <w:rPr>
          <w:rFonts w:asciiTheme="minorHAnsi" w:hAnsiTheme="minorHAnsi" w:cstheme="minorHAnsi"/>
          <w:sz w:val="22"/>
          <w:szCs w:val="22"/>
        </w:rPr>
        <w:t>financial intermediation and the provision of financial services also tend to expand</w:t>
      </w:r>
      <w:r w:rsidR="00FA294E">
        <w:rPr>
          <w:rFonts w:asciiTheme="minorHAnsi" w:hAnsiTheme="minorHAnsi" w:cstheme="minorHAnsi"/>
          <w:sz w:val="22"/>
          <w:szCs w:val="22"/>
        </w:rPr>
        <w:t xml:space="preserve"> </w:t>
      </w:r>
      <w:r w:rsidRPr="007223A6">
        <w:rPr>
          <w:rFonts w:asciiTheme="minorHAnsi" w:hAnsiTheme="minorHAnsi" w:cstheme="minorHAnsi"/>
          <w:sz w:val="22"/>
          <w:szCs w:val="22"/>
        </w:rPr>
        <w:t xml:space="preserve">(in its benign form this is referred to as “financial deepening”). </w:t>
      </w:r>
    </w:p>
    <w:p w:rsidR="00375072" w:rsidRPr="007223A6" w:rsidRDefault="00375072" w:rsidP="00375072">
      <w:pPr>
        <w:jc w:val="both"/>
        <w:rPr>
          <w:rFonts w:asciiTheme="minorHAnsi" w:hAnsiTheme="minorHAnsi" w:cstheme="minorHAnsi"/>
          <w:sz w:val="22"/>
          <w:szCs w:val="22"/>
        </w:rPr>
      </w:pPr>
    </w:p>
    <w:p w:rsidR="00375072" w:rsidRPr="007223A6" w:rsidRDefault="00375072" w:rsidP="00375072">
      <w:pPr>
        <w:jc w:val="both"/>
        <w:rPr>
          <w:rFonts w:asciiTheme="minorHAnsi" w:hAnsiTheme="minorHAnsi" w:cstheme="minorHAnsi"/>
          <w:sz w:val="22"/>
          <w:szCs w:val="22"/>
        </w:rPr>
      </w:pPr>
      <w:r w:rsidRPr="007223A6">
        <w:rPr>
          <w:rFonts w:asciiTheme="minorHAnsi" w:hAnsiTheme="minorHAnsi" w:cstheme="minorHAnsi"/>
          <w:sz w:val="22"/>
          <w:szCs w:val="22"/>
        </w:rPr>
        <w:tab/>
        <w:t>To discuss the sustainability of credit growth in a country and attempt to distinguish between the natural process of financial deepening and the more dangerous build-up of a credit bubble, we construct a measure of what a country’s ratio of private nonfinancial sector credit to GDP should have been based on country characteristics, including real per capita GDP.</w:t>
      </w:r>
      <w:r w:rsidRPr="007223A6">
        <w:rPr>
          <w:rStyle w:val="FootnoteReference"/>
          <w:rFonts w:asciiTheme="minorHAnsi" w:hAnsiTheme="minorHAnsi" w:cstheme="minorHAnsi"/>
          <w:sz w:val="22"/>
          <w:szCs w:val="22"/>
        </w:rPr>
        <w:footnoteReference w:id="1"/>
      </w:r>
      <w:r w:rsidRPr="007223A6">
        <w:rPr>
          <w:rFonts w:asciiTheme="minorHAnsi" w:hAnsiTheme="minorHAnsi" w:cstheme="minorHAnsi"/>
          <w:sz w:val="22"/>
          <w:szCs w:val="22"/>
        </w:rPr>
        <w:t xml:space="preserve"> </w:t>
      </w:r>
    </w:p>
    <w:p w:rsidR="00375072" w:rsidRPr="007223A6" w:rsidRDefault="00375072" w:rsidP="00375072">
      <w:pPr>
        <w:jc w:val="both"/>
        <w:rPr>
          <w:rFonts w:asciiTheme="minorHAnsi" w:hAnsiTheme="minorHAnsi" w:cstheme="minorHAnsi"/>
          <w:sz w:val="22"/>
          <w:szCs w:val="22"/>
        </w:rPr>
      </w:pPr>
    </w:p>
    <w:p w:rsidR="00C63BDD" w:rsidRPr="007223A6" w:rsidRDefault="00C63BDD" w:rsidP="00C63BDD">
      <w:pPr>
        <w:jc w:val="both"/>
        <w:rPr>
          <w:rFonts w:asciiTheme="minorHAnsi" w:hAnsiTheme="minorHAnsi" w:cstheme="minorHAnsi"/>
          <w:sz w:val="22"/>
          <w:szCs w:val="22"/>
        </w:rPr>
      </w:pPr>
      <w:r w:rsidRPr="007223A6">
        <w:rPr>
          <w:rFonts w:asciiTheme="minorHAnsi" w:hAnsiTheme="minorHAnsi" w:cstheme="minorHAnsi"/>
          <w:sz w:val="22"/>
          <w:szCs w:val="22"/>
        </w:rPr>
        <w:t xml:space="preserve">By comparing what the credit ratio is to what it “should be” given a country’s level of development, we can assess the sustainability of credit growth in a country. This is shown in </w:t>
      </w:r>
      <w:r w:rsidRPr="007223A6">
        <w:rPr>
          <w:rFonts w:asciiTheme="minorHAnsi" w:hAnsiTheme="minorHAnsi" w:cstheme="minorHAnsi"/>
          <w:b/>
          <w:sz w:val="22"/>
          <w:szCs w:val="22"/>
        </w:rPr>
        <w:fldChar w:fldCharType="begin"/>
      </w:r>
      <w:r w:rsidRPr="007223A6">
        <w:rPr>
          <w:rFonts w:asciiTheme="minorHAnsi" w:hAnsiTheme="minorHAnsi" w:cstheme="minorHAnsi"/>
          <w:b/>
          <w:sz w:val="22"/>
          <w:szCs w:val="22"/>
        </w:rPr>
        <w:instrText xml:space="preserve"> REF _Ref365546033 \h  \* MERGEFORMAT </w:instrText>
      </w:r>
      <w:r w:rsidRPr="007223A6">
        <w:rPr>
          <w:rFonts w:asciiTheme="minorHAnsi" w:hAnsiTheme="minorHAnsi" w:cstheme="minorHAnsi"/>
          <w:b/>
          <w:sz w:val="22"/>
          <w:szCs w:val="22"/>
        </w:rPr>
      </w:r>
      <w:r w:rsidRPr="007223A6">
        <w:rPr>
          <w:rFonts w:asciiTheme="minorHAnsi" w:hAnsiTheme="minorHAnsi" w:cstheme="minorHAnsi"/>
          <w:b/>
          <w:sz w:val="22"/>
          <w:szCs w:val="22"/>
        </w:rPr>
        <w:fldChar w:fldCharType="separate"/>
      </w:r>
      <w:r w:rsidR="00DE35E0" w:rsidRPr="00DE35E0">
        <w:rPr>
          <w:rFonts w:asciiTheme="minorHAnsi" w:hAnsiTheme="minorHAnsi" w:cstheme="minorHAnsi"/>
          <w:b/>
          <w:sz w:val="22"/>
          <w:szCs w:val="22"/>
        </w:rPr>
        <w:t xml:space="preserve">Chart </w:t>
      </w:r>
      <w:r w:rsidR="00DE35E0" w:rsidRPr="00DE35E0">
        <w:rPr>
          <w:rFonts w:asciiTheme="minorHAnsi" w:hAnsiTheme="minorHAnsi" w:cstheme="minorHAnsi"/>
          <w:b/>
          <w:noProof/>
          <w:sz w:val="22"/>
          <w:szCs w:val="22"/>
        </w:rPr>
        <w:t>2</w:t>
      </w:r>
      <w:r w:rsidRPr="007223A6">
        <w:rPr>
          <w:rFonts w:asciiTheme="minorHAnsi" w:hAnsiTheme="minorHAnsi" w:cstheme="minorHAnsi"/>
          <w:b/>
          <w:sz w:val="22"/>
          <w:szCs w:val="22"/>
        </w:rPr>
        <w:fldChar w:fldCharType="end"/>
      </w:r>
      <w:r w:rsidR="00A96BB3">
        <w:rPr>
          <w:rFonts w:asciiTheme="minorHAnsi" w:hAnsiTheme="minorHAnsi" w:cstheme="minorHAnsi"/>
          <w:b/>
          <w:sz w:val="22"/>
          <w:szCs w:val="22"/>
        </w:rPr>
        <w:t xml:space="preserve"> </w:t>
      </w:r>
      <w:r w:rsidR="00A96BB3" w:rsidRPr="00706666">
        <w:rPr>
          <w:rFonts w:asciiTheme="minorHAnsi" w:hAnsiTheme="minorHAnsi" w:cstheme="minorHAnsi"/>
          <w:sz w:val="22"/>
          <w:szCs w:val="22"/>
        </w:rPr>
        <w:t>and</w:t>
      </w:r>
      <w:r w:rsidRPr="007223A6">
        <w:rPr>
          <w:rFonts w:asciiTheme="minorHAnsi" w:hAnsiTheme="minorHAnsi" w:cstheme="minorHAnsi"/>
          <w:b/>
          <w:sz w:val="22"/>
          <w:szCs w:val="22"/>
        </w:rPr>
        <w:t xml:space="preserve"> </w:t>
      </w:r>
      <w:r w:rsidRPr="007223A6">
        <w:rPr>
          <w:rFonts w:asciiTheme="minorHAnsi" w:hAnsiTheme="minorHAnsi" w:cstheme="minorHAnsi"/>
          <w:b/>
          <w:sz w:val="22"/>
          <w:szCs w:val="22"/>
        </w:rPr>
        <w:fldChar w:fldCharType="begin"/>
      </w:r>
      <w:r w:rsidRPr="007223A6">
        <w:rPr>
          <w:rFonts w:asciiTheme="minorHAnsi" w:hAnsiTheme="minorHAnsi" w:cstheme="minorHAnsi"/>
          <w:b/>
          <w:sz w:val="22"/>
          <w:szCs w:val="22"/>
        </w:rPr>
        <w:instrText xml:space="preserve"> REF _Ref365546027 \h  \* MERGEFORMAT </w:instrText>
      </w:r>
      <w:r w:rsidRPr="007223A6">
        <w:rPr>
          <w:rFonts w:asciiTheme="minorHAnsi" w:hAnsiTheme="minorHAnsi" w:cstheme="minorHAnsi"/>
          <w:b/>
          <w:sz w:val="22"/>
          <w:szCs w:val="22"/>
        </w:rPr>
      </w:r>
      <w:r w:rsidRPr="007223A6">
        <w:rPr>
          <w:rFonts w:asciiTheme="minorHAnsi" w:hAnsiTheme="minorHAnsi" w:cstheme="minorHAnsi"/>
          <w:b/>
          <w:sz w:val="22"/>
          <w:szCs w:val="22"/>
        </w:rPr>
        <w:fldChar w:fldCharType="separate"/>
      </w:r>
      <w:r w:rsidR="00DE35E0" w:rsidRPr="00DE35E0">
        <w:rPr>
          <w:rFonts w:asciiTheme="minorHAnsi" w:hAnsiTheme="minorHAnsi" w:cstheme="minorHAnsi"/>
          <w:b/>
          <w:sz w:val="22"/>
          <w:szCs w:val="22"/>
        </w:rPr>
        <w:t xml:space="preserve">Chart </w:t>
      </w:r>
      <w:r w:rsidR="00DE35E0" w:rsidRPr="00DE35E0">
        <w:rPr>
          <w:rFonts w:asciiTheme="minorHAnsi" w:hAnsiTheme="minorHAnsi" w:cstheme="minorHAnsi"/>
          <w:b/>
          <w:noProof/>
          <w:sz w:val="22"/>
          <w:szCs w:val="22"/>
        </w:rPr>
        <w:t>3</w:t>
      </w:r>
      <w:r w:rsidRPr="007223A6">
        <w:rPr>
          <w:rFonts w:asciiTheme="minorHAnsi" w:hAnsiTheme="minorHAnsi" w:cstheme="minorHAnsi"/>
          <w:b/>
          <w:sz w:val="22"/>
          <w:szCs w:val="22"/>
        </w:rPr>
        <w:fldChar w:fldCharType="end"/>
      </w:r>
      <w:r w:rsidR="00A96BB3">
        <w:rPr>
          <w:rFonts w:asciiTheme="minorHAnsi" w:hAnsiTheme="minorHAnsi" w:cstheme="minorHAnsi"/>
          <w:sz w:val="22"/>
          <w:szCs w:val="22"/>
        </w:rPr>
        <w:t xml:space="preserve">. </w:t>
      </w:r>
      <w:r w:rsidRPr="007223A6">
        <w:rPr>
          <w:rFonts w:asciiTheme="minorHAnsi" w:hAnsiTheme="minorHAnsi" w:cstheme="minorHAnsi"/>
          <w:sz w:val="22"/>
          <w:szCs w:val="22"/>
        </w:rPr>
        <w:t xml:space="preserve">The blue bar in each of these charts records the actual change in the private sector credit ratio over a five year period. The red bar reports what the change in the credit ratio “should have been” over the same period </w:t>
      </w:r>
      <w:r w:rsidRPr="007223A6">
        <w:rPr>
          <w:rFonts w:asciiTheme="minorHAnsi" w:hAnsiTheme="minorHAnsi" w:cstheme="minorHAnsi"/>
          <w:sz w:val="22"/>
          <w:szCs w:val="22"/>
        </w:rPr>
        <w:lastRenderedPageBreak/>
        <w:t>given the change in a country’s per capita GDP. The error bands on the red bar designate 95 percent confidence intervals.</w:t>
      </w:r>
    </w:p>
    <w:p w:rsidR="00C63BDD" w:rsidRPr="007223A6" w:rsidRDefault="00C63BDD" w:rsidP="00C63BDD">
      <w:pPr>
        <w:jc w:val="both"/>
        <w:rPr>
          <w:rFonts w:asciiTheme="minorHAnsi" w:hAnsiTheme="minorHAnsi" w:cstheme="minorHAnsi"/>
          <w:i/>
          <w:sz w:val="22"/>
          <w:szCs w:val="22"/>
        </w:rPr>
      </w:pPr>
    </w:p>
    <w:p w:rsidR="00375072" w:rsidRDefault="00C63BDD" w:rsidP="00C63BDD">
      <w:pPr>
        <w:jc w:val="both"/>
        <w:rPr>
          <w:rFonts w:asciiTheme="minorHAnsi" w:hAnsiTheme="minorHAnsi" w:cstheme="minorHAnsi"/>
          <w:sz w:val="22"/>
          <w:szCs w:val="22"/>
        </w:rPr>
      </w:pPr>
      <w:r w:rsidRPr="007223A6">
        <w:rPr>
          <w:rFonts w:asciiTheme="minorHAnsi" w:hAnsiTheme="minorHAnsi" w:cstheme="minorHAnsi"/>
          <w:sz w:val="22"/>
          <w:szCs w:val="22"/>
        </w:rPr>
        <w:tab/>
      </w:r>
      <w:r w:rsidRPr="007223A6">
        <w:rPr>
          <w:rFonts w:asciiTheme="minorHAnsi" w:hAnsiTheme="minorHAnsi" w:cstheme="minorHAnsi"/>
          <w:b/>
          <w:sz w:val="22"/>
          <w:szCs w:val="22"/>
        </w:rPr>
        <w:fldChar w:fldCharType="begin"/>
      </w:r>
      <w:r w:rsidRPr="007223A6">
        <w:rPr>
          <w:rFonts w:asciiTheme="minorHAnsi" w:hAnsiTheme="minorHAnsi" w:cstheme="minorHAnsi"/>
          <w:b/>
          <w:sz w:val="22"/>
          <w:szCs w:val="22"/>
        </w:rPr>
        <w:instrText xml:space="preserve"> REF _Ref365546033 \h  \* MERGEFORMAT </w:instrText>
      </w:r>
      <w:r w:rsidRPr="007223A6">
        <w:rPr>
          <w:rFonts w:asciiTheme="minorHAnsi" w:hAnsiTheme="minorHAnsi" w:cstheme="minorHAnsi"/>
          <w:b/>
          <w:sz w:val="22"/>
          <w:szCs w:val="22"/>
        </w:rPr>
      </w:r>
      <w:r w:rsidRPr="007223A6">
        <w:rPr>
          <w:rFonts w:asciiTheme="minorHAnsi" w:hAnsiTheme="minorHAnsi" w:cstheme="minorHAnsi"/>
          <w:b/>
          <w:sz w:val="22"/>
          <w:szCs w:val="22"/>
        </w:rPr>
        <w:fldChar w:fldCharType="separate"/>
      </w:r>
      <w:r w:rsidR="00DE35E0" w:rsidRPr="00DE35E0">
        <w:rPr>
          <w:rFonts w:asciiTheme="minorHAnsi" w:hAnsiTheme="minorHAnsi" w:cstheme="minorHAnsi"/>
          <w:b/>
          <w:sz w:val="22"/>
          <w:szCs w:val="22"/>
        </w:rPr>
        <w:t xml:space="preserve">Chart </w:t>
      </w:r>
      <w:r w:rsidR="00DE35E0" w:rsidRPr="00DE35E0">
        <w:rPr>
          <w:rFonts w:asciiTheme="minorHAnsi" w:hAnsiTheme="minorHAnsi" w:cstheme="minorHAnsi"/>
          <w:b/>
          <w:noProof/>
          <w:sz w:val="22"/>
          <w:szCs w:val="22"/>
        </w:rPr>
        <w:t>2</w:t>
      </w:r>
      <w:r w:rsidRPr="007223A6">
        <w:rPr>
          <w:rFonts w:asciiTheme="minorHAnsi" w:hAnsiTheme="minorHAnsi" w:cstheme="minorHAnsi"/>
          <w:b/>
          <w:sz w:val="22"/>
          <w:szCs w:val="22"/>
        </w:rPr>
        <w:fldChar w:fldCharType="end"/>
      </w:r>
      <w:r w:rsidRPr="007223A6">
        <w:rPr>
          <w:rFonts w:asciiTheme="minorHAnsi" w:hAnsiTheme="minorHAnsi" w:cstheme="minorHAnsi"/>
          <w:sz w:val="22"/>
          <w:szCs w:val="22"/>
        </w:rPr>
        <w:t xml:space="preserve"> presents the actual and hypothetical credit growth in China and the rest of the world from 2008 to 2012. As discussed earlier, the private sector credit to GDP ratio in China </w:t>
      </w:r>
      <w:r w:rsidR="005A2ED3">
        <w:rPr>
          <w:rFonts w:asciiTheme="minorHAnsi" w:hAnsiTheme="minorHAnsi" w:cstheme="minorHAnsi"/>
          <w:sz w:val="22"/>
          <w:szCs w:val="22"/>
        </w:rPr>
        <w:t xml:space="preserve">has </w:t>
      </w:r>
      <w:r w:rsidRPr="007223A6">
        <w:rPr>
          <w:rFonts w:asciiTheme="minorHAnsi" w:hAnsiTheme="minorHAnsi" w:cstheme="minorHAnsi"/>
          <w:sz w:val="22"/>
          <w:szCs w:val="22"/>
        </w:rPr>
        <w:t xml:space="preserve">increased by </w:t>
      </w:r>
      <w:r w:rsidR="005A2ED3">
        <w:rPr>
          <w:rFonts w:asciiTheme="minorHAnsi" w:hAnsiTheme="minorHAnsi" w:cstheme="minorHAnsi"/>
          <w:sz w:val="22"/>
          <w:szCs w:val="22"/>
        </w:rPr>
        <w:t>67</w:t>
      </w:r>
      <w:r w:rsidRPr="007223A6">
        <w:rPr>
          <w:rFonts w:asciiTheme="minorHAnsi" w:hAnsiTheme="minorHAnsi" w:cstheme="minorHAnsi"/>
          <w:sz w:val="22"/>
          <w:szCs w:val="22"/>
        </w:rPr>
        <w:t xml:space="preserve"> percentage points (p.p.) since 200</w:t>
      </w:r>
      <w:r w:rsidR="005A2ED3">
        <w:rPr>
          <w:rFonts w:asciiTheme="minorHAnsi" w:hAnsiTheme="minorHAnsi" w:cstheme="minorHAnsi"/>
          <w:sz w:val="22"/>
          <w:szCs w:val="22"/>
        </w:rPr>
        <w:t>9</w:t>
      </w:r>
      <w:r w:rsidRPr="007223A6">
        <w:rPr>
          <w:rFonts w:asciiTheme="minorHAnsi" w:hAnsiTheme="minorHAnsi" w:cstheme="minorHAnsi"/>
          <w:sz w:val="22"/>
          <w:szCs w:val="22"/>
        </w:rPr>
        <w:t>. Economic growth in China over this same period can explain 3</w:t>
      </w:r>
      <w:r w:rsidR="005A2ED3">
        <w:rPr>
          <w:rFonts w:asciiTheme="minorHAnsi" w:hAnsiTheme="minorHAnsi" w:cstheme="minorHAnsi"/>
          <w:sz w:val="22"/>
          <w:szCs w:val="22"/>
        </w:rPr>
        <w:t>2</w:t>
      </w:r>
      <w:r w:rsidRPr="007223A6">
        <w:rPr>
          <w:rFonts w:asciiTheme="minorHAnsi" w:hAnsiTheme="minorHAnsi" w:cstheme="minorHAnsi"/>
          <w:sz w:val="22"/>
          <w:szCs w:val="22"/>
        </w:rPr>
        <w:t xml:space="preserve"> p.p. of this increase in credit, leaving a </w:t>
      </w:r>
      <w:r w:rsidR="005A2ED3">
        <w:rPr>
          <w:rFonts w:asciiTheme="minorHAnsi" w:hAnsiTheme="minorHAnsi" w:cstheme="minorHAnsi"/>
          <w:sz w:val="22"/>
          <w:szCs w:val="22"/>
        </w:rPr>
        <w:t>35</w:t>
      </w:r>
      <w:r w:rsidRPr="007223A6">
        <w:rPr>
          <w:rFonts w:asciiTheme="minorHAnsi" w:hAnsiTheme="minorHAnsi" w:cstheme="minorHAnsi"/>
          <w:sz w:val="22"/>
          <w:szCs w:val="22"/>
        </w:rPr>
        <w:t xml:space="preserve"> p.p. gap between actual credit growth in China and what it should have been.</w:t>
      </w:r>
    </w:p>
    <w:p w:rsidR="00B66034" w:rsidRDefault="00B66034" w:rsidP="007223A6">
      <w:pPr>
        <w:jc w:val="both"/>
        <w:rPr>
          <w:rFonts w:asciiTheme="minorHAnsi" w:hAnsiTheme="minorHAnsi" w:cstheme="minorHAnsi"/>
          <w:sz w:val="22"/>
          <w:szCs w:val="22"/>
        </w:rPr>
      </w:pPr>
    </w:p>
    <w:p w:rsidR="00C63BDD" w:rsidRDefault="00C63BDD" w:rsidP="007223A6">
      <w:pPr>
        <w:jc w:val="both"/>
        <w:rPr>
          <w:rFonts w:asciiTheme="minorHAnsi" w:hAnsiTheme="minorHAnsi" w:cstheme="minorHAnsi"/>
          <w:sz w:val="22"/>
          <w:szCs w:val="22"/>
        </w:rPr>
      </w:pPr>
    </w:p>
    <w:p w:rsidR="006C0DB8" w:rsidRDefault="006C0DB8" w:rsidP="007223A6">
      <w:pPr>
        <w:jc w:val="both"/>
        <w:rPr>
          <w:rFonts w:asciiTheme="minorHAnsi" w:hAnsiTheme="minorHAnsi" w:cstheme="minorHAnsi"/>
          <w:sz w:val="22"/>
          <w:szCs w:val="22"/>
        </w:rPr>
      </w:pPr>
    </w:p>
    <w:p w:rsidR="00C63BDD" w:rsidRPr="007223A6" w:rsidRDefault="00990FEB" w:rsidP="00C63BDD">
      <w:pPr>
        <w:jc w:val="both"/>
        <w:rPr>
          <w:rFonts w:asciiTheme="minorHAnsi" w:hAnsiTheme="minorHAnsi" w:cstheme="minorHAnsi"/>
          <w:sz w:val="22"/>
          <w:szCs w:val="22"/>
        </w:rPr>
      </w:pPr>
      <w:r w:rsidRPr="007223A6">
        <w:rPr>
          <w:rFonts w:asciiTheme="minorHAnsi" w:hAnsiTheme="minorHAnsi" w:cstheme="minorHAnsi"/>
          <w:sz w:val="22"/>
          <w:szCs w:val="22"/>
        </w:rPr>
        <w:tab/>
      </w:r>
    </w:p>
    <w:p w:rsidR="00990FEB" w:rsidRPr="007223A6" w:rsidRDefault="00990FEB" w:rsidP="007223A6">
      <w:pPr>
        <w:jc w:val="both"/>
        <w:rPr>
          <w:rFonts w:asciiTheme="minorHAnsi" w:hAnsiTheme="minorHAnsi" w:cstheme="minorHAnsi"/>
          <w:sz w:val="22"/>
          <w:szCs w:val="22"/>
        </w:rPr>
      </w:pPr>
      <w:r w:rsidRPr="007223A6">
        <w:rPr>
          <w:rFonts w:asciiTheme="minorHAnsi" w:hAnsiTheme="minorHAnsi" w:cstheme="minorHAnsi"/>
          <w:sz w:val="22"/>
          <w:szCs w:val="22"/>
        </w:rPr>
        <w:t xml:space="preserve"> </w:t>
      </w:r>
    </w:p>
    <w:p w:rsidR="00990FEB" w:rsidRPr="007223A6" w:rsidRDefault="00990FEB" w:rsidP="007223A6">
      <w:pPr>
        <w:jc w:val="both"/>
        <w:rPr>
          <w:rFonts w:asciiTheme="minorHAnsi" w:hAnsiTheme="minorHAnsi" w:cstheme="minorHAnsi"/>
          <w:i/>
          <w:sz w:val="22"/>
          <w:szCs w:val="22"/>
        </w:rPr>
      </w:pPr>
    </w:p>
    <w:p w:rsidR="00990FEB" w:rsidRPr="007223A6" w:rsidRDefault="00990FEB" w:rsidP="00DF0880">
      <w:pPr>
        <w:pStyle w:val="Caption"/>
        <w:keepNext/>
        <w:jc w:val="center"/>
        <w:rPr>
          <w:rFonts w:asciiTheme="minorHAnsi" w:hAnsiTheme="minorHAnsi" w:cstheme="minorHAnsi"/>
          <w:color w:val="auto"/>
          <w:sz w:val="22"/>
          <w:szCs w:val="22"/>
        </w:rPr>
      </w:pPr>
      <w:bookmarkStart w:id="1" w:name="_Ref365546033"/>
      <w:r w:rsidRPr="007223A6">
        <w:rPr>
          <w:rFonts w:asciiTheme="minorHAnsi" w:hAnsiTheme="minorHAnsi" w:cstheme="minorHAnsi"/>
          <w:color w:val="auto"/>
          <w:sz w:val="22"/>
          <w:szCs w:val="22"/>
        </w:rPr>
        <w:t xml:space="preserve">Chart </w:t>
      </w:r>
      <w:r w:rsidRPr="007223A6">
        <w:rPr>
          <w:rFonts w:asciiTheme="minorHAnsi" w:hAnsiTheme="minorHAnsi" w:cstheme="minorHAnsi"/>
          <w:color w:val="auto"/>
          <w:sz w:val="22"/>
          <w:szCs w:val="22"/>
        </w:rPr>
        <w:fldChar w:fldCharType="begin"/>
      </w:r>
      <w:r w:rsidRPr="007223A6">
        <w:rPr>
          <w:rFonts w:asciiTheme="minorHAnsi" w:hAnsiTheme="minorHAnsi" w:cstheme="minorHAnsi"/>
          <w:color w:val="auto"/>
          <w:sz w:val="22"/>
          <w:szCs w:val="22"/>
        </w:rPr>
        <w:instrText xml:space="preserve"> SEQ Chart \* ARABIC </w:instrText>
      </w:r>
      <w:r w:rsidRPr="007223A6">
        <w:rPr>
          <w:rFonts w:asciiTheme="minorHAnsi" w:hAnsiTheme="minorHAnsi" w:cstheme="minorHAnsi"/>
          <w:color w:val="auto"/>
          <w:sz w:val="22"/>
          <w:szCs w:val="22"/>
        </w:rPr>
        <w:fldChar w:fldCharType="separate"/>
      </w:r>
      <w:r w:rsidR="00DE35E0">
        <w:rPr>
          <w:rFonts w:asciiTheme="minorHAnsi" w:hAnsiTheme="minorHAnsi" w:cstheme="minorHAnsi"/>
          <w:noProof/>
          <w:color w:val="auto"/>
          <w:sz w:val="22"/>
          <w:szCs w:val="22"/>
        </w:rPr>
        <w:t>2</w:t>
      </w:r>
      <w:r w:rsidRPr="007223A6">
        <w:rPr>
          <w:rFonts w:asciiTheme="minorHAnsi" w:hAnsiTheme="minorHAnsi" w:cstheme="minorHAnsi"/>
          <w:color w:val="auto"/>
          <w:sz w:val="22"/>
          <w:szCs w:val="22"/>
        </w:rPr>
        <w:fldChar w:fldCharType="end"/>
      </w:r>
      <w:bookmarkEnd w:id="1"/>
      <w:r w:rsidR="00DF0880">
        <w:rPr>
          <w:rFonts w:asciiTheme="minorHAnsi" w:hAnsiTheme="minorHAnsi" w:cstheme="minorHAnsi"/>
          <w:color w:val="auto"/>
          <w:sz w:val="22"/>
          <w:szCs w:val="22"/>
        </w:rPr>
        <w:t xml:space="preserve">: Since 2008, China has seen a rapid increase in private sector </w:t>
      </w:r>
      <w:r w:rsidR="00DC69AC">
        <w:rPr>
          <w:rFonts w:asciiTheme="minorHAnsi" w:hAnsiTheme="minorHAnsi" w:cstheme="minorHAnsi"/>
          <w:color w:val="auto"/>
          <w:sz w:val="22"/>
          <w:szCs w:val="22"/>
        </w:rPr>
        <w:t>debt;</w:t>
      </w:r>
      <w:r w:rsidR="00DF0880">
        <w:rPr>
          <w:rFonts w:asciiTheme="minorHAnsi" w:hAnsiTheme="minorHAnsi" w:cstheme="minorHAnsi"/>
          <w:color w:val="auto"/>
          <w:sz w:val="22"/>
          <w:szCs w:val="22"/>
        </w:rPr>
        <w:t xml:space="preserve"> this is not true in the rest of the world.</w:t>
      </w:r>
    </w:p>
    <w:p w:rsidR="00990FEB" w:rsidRPr="002E1491" w:rsidRDefault="005A2ED3" w:rsidP="00DF0880">
      <w:pPr>
        <w:jc w:val="center"/>
        <w:rPr>
          <w:rFonts w:asciiTheme="minorHAnsi" w:hAnsiTheme="minorHAnsi" w:cstheme="minorHAnsi"/>
          <w:sz w:val="22"/>
          <w:szCs w:val="22"/>
        </w:rPr>
      </w:pPr>
      <w:r w:rsidRPr="005A2ED3">
        <w:rPr>
          <w:noProof/>
        </w:rPr>
        <w:drawing>
          <wp:inline distT="0" distB="0" distL="0" distR="0" wp14:anchorId="01BF74EC" wp14:editId="28F53B6E">
            <wp:extent cx="5047488" cy="36576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7488" cy="3657600"/>
                    </a:xfrm>
                    <a:prstGeom prst="rect">
                      <a:avLst/>
                    </a:prstGeom>
                    <a:noFill/>
                    <a:ln>
                      <a:noFill/>
                    </a:ln>
                  </pic:spPr>
                </pic:pic>
              </a:graphicData>
            </a:graphic>
          </wp:inline>
        </w:drawing>
      </w:r>
    </w:p>
    <w:p w:rsidR="002E1491" w:rsidRDefault="002E1491" w:rsidP="007223A6">
      <w:pPr>
        <w:ind w:firstLine="720"/>
        <w:jc w:val="both"/>
        <w:rPr>
          <w:rFonts w:asciiTheme="minorHAnsi" w:hAnsiTheme="minorHAnsi" w:cstheme="minorHAnsi"/>
          <w:sz w:val="22"/>
          <w:szCs w:val="22"/>
        </w:rPr>
      </w:pPr>
    </w:p>
    <w:p w:rsidR="00DF0880" w:rsidRDefault="00990FEB" w:rsidP="007223A6">
      <w:pPr>
        <w:ind w:firstLine="720"/>
        <w:jc w:val="both"/>
        <w:rPr>
          <w:rFonts w:asciiTheme="minorHAnsi" w:hAnsiTheme="minorHAnsi" w:cstheme="minorHAnsi"/>
          <w:sz w:val="22"/>
          <w:szCs w:val="22"/>
        </w:rPr>
      </w:pPr>
      <w:r w:rsidRPr="007223A6">
        <w:rPr>
          <w:rFonts w:asciiTheme="minorHAnsi" w:hAnsiTheme="minorHAnsi" w:cstheme="minorHAnsi"/>
          <w:sz w:val="22"/>
          <w:szCs w:val="22"/>
        </w:rPr>
        <w:t xml:space="preserve">Examples from recent history show that a credit expansion far above what can be explained by fundamentals </w:t>
      </w:r>
      <w:r w:rsidR="00603F75">
        <w:rPr>
          <w:rFonts w:asciiTheme="minorHAnsi" w:hAnsiTheme="minorHAnsi" w:cstheme="minorHAnsi"/>
          <w:sz w:val="22"/>
          <w:szCs w:val="22"/>
        </w:rPr>
        <w:t>is often followed by</w:t>
      </w:r>
      <w:r w:rsidR="002E1491">
        <w:rPr>
          <w:rFonts w:asciiTheme="minorHAnsi" w:hAnsiTheme="minorHAnsi" w:cstheme="minorHAnsi"/>
          <w:sz w:val="22"/>
          <w:szCs w:val="22"/>
        </w:rPr>
        <w:t xml:space="preserve"> a</w:t>
      </w:r>
      <w:r w:rsidR="00603F75">
        <w:rPr>
          <w:rFonts w:asciiTheme="minorHAnsi" w:hAnsiTheme="minorHAnsi" w:cstheme="minorHAnsi"/>
          <w:sz w:val="22"/>
          <w:szCs w:val="22"/>
        </w:rPr>
        <w:t xml:space="preserve"> financial cris</w:t>
      </w:r>
      <w:r w:rsidR="002E1491">
        <w:rPr>
          <w:rFonts w:asciiTheme="minorHAnsi" w:hAnsiTheme="minorHAnsi" w:cstheme="minorHAnsi"/>
          <w:sz w:val="22"/>
          <w:szCs w:val="22"/>
        </w:rPr>
        <w:t>is</w:t>
      </w:r>
      <w:r w:rsidRPr="007223A6">
        <w:rPr>
          <w:rFonts w:asciiTheme="minorHAnsi" w:hAnsiTheme="minorHAnsi" w:cstheme="minorHAnsi"/>
          <w:sz w:val="22"/>
          <w:szCs w:val="22"/>
        </w:rPr>
        <w:t xml:space="preserve">. </w:t>
      </w:r>
      <w:r w:rsidRPr="007223A6">
        <w:rPr>
          <w:rFonts w:asciiTheme="minorHAnsi" w:hAnsiTheme="minorHAnsi" w:cstheme="minorHAnsi"/>
          <w:b/>
          <w:sz w:val="22"/>
          <w:szCs w:val="22"/>
        </w:rPr>
        <w:fldChar w:fldCharType="begin"/>
      </w:r>
      <w:r w:rsidRPr="007223A6">
        <w:rPr>
          <w:rFonts w:asciiTheme="minorHAnsi" w:hAnsiTheme="minorHAnsi" w:cstheme="minorHAnsi"/>
          <w:b/>
          <w:sz w:val="22"/>
          <w:szCs w:val="22"/>
        </w:rPr>
        <w:instrText xml:space="preserve"> REF _Ref365546027 \h  \* MERGEFORMAT </w:instrText>
      </w:r>
      <w:r w:rsidRPr="007223A6">
        <w:rPr>
          <w:rFonts w:asciiTheme="minorHAnsi" w:hAnsiTheme="minorHAnsi" w:cstheme="minorHAnsi"/>
          <w:b/>
          <w:sz w:val="22"/>
          <w:szCs w:val="22"/>
        </w:rPr>
      </w:r>
      <w:r w:rsidRPr="007223A6">
        <w:rPr>
          <w:rFonts w:asciiTheme="minorHAnsi" w:hAnsiTheme="minorHAnsi" w:cstheme="minorHAnsi"/>
          <w:b/>
          <w:sz w:val="22"/>
          <w:szCs w:val="22"/>
        </w:rPr>
        <w:fldChar w:fldCharType="separate"/>
      </w:r>
      <w:r w:rsidR="00DE35E0" w:rsidRPr="00DE35E0">
        <w:rPr>
          <w:rFonts w:asciiTheme="minorHAnsi" w:hAnsiTheme="minorHAnsi" w:cstheme="minorHAnsi"/>
          <w:b/>
          <w:sz w:val="22"/>
          <w:szCs w:val="22"/>
        </w:rPr>
        <w:t xml:space="preserve">Chart </w:t>
      </w:r>
      <w:r w:rsidR="00DE35E0" w:rsidRPr="00DE35E0">
        <w:rPr>
          <w:rFonts w:asciiTheme="minorHAnsi" w:hAnsiTheme="minorHAnsi" w:cstheme="minorHAnsi"/>
          <w:b/>
          <w:noProof/>
          <w:sz w:val="22"/>
          <w:szCs w:val="22"/>
        </w:rPr>
        <w:t>3</w:t>
      </w:r>
      <w:r w:rsidRPr="007223A6">
        <w:rPr>
          <w:rFonts w:asciiTheme="minorHAnsi" w:hAnsiTheme="minorHAnsi" w:cstheme="minorHAnsi"/>
          <w:b/>
          <w:sz w:val="22"/>
          <w:szCs w:val="22"/>
        </w:rPr>
        <w:fldChar w:fldCharType="end"/>
      </w:r>
      <w:r w:rsidRPr="007223A6">
        <w:rPr>
          <w:rFonts w:asciiTheme="minorHAnsi" w:hAnsiTheme="minorHAnsi" w:cstheme="minorHAnsi"/>
          <w:sz w:val="22"/>
          <w:szCs w:val="22"/>
        </w:rPr>
        <w:t xml:space="preserve"> presents the actual and hypothetical credit growth in Japan</w:t>
      </w:r>
      <w:r w:rsidR="00DF0880">
        <w:rPr>
          <w:rFonts w:asciiTheme="minorHAnsi" w:hAnsiTheme="minorHAnsi" w:cstheme="minorHAnsi"/>
          <w:sz w:val="22"/>
          <w:szCs w:val="22"/>
        </w:rPr>
        <w:t xml:space="preserve"> in the last half of the 1980’s, </w:t>
      </w:r>
      <w:r w:rsidRPr="007223A6">
        <w:rPr>
          <w:rFonts w:asciiTheme="minorHAnsi" w:hAnsiTheme="minorHAnsi" w:cstheme="minorHAnsi"/>
          <w:sz w:val="22"/>
          <w:szCs w:val="22"/>
        </w:rPr>
        <w:t>the countries involved in the East Asian</w:t>
      </w:r>
      <w:r w:rsidR="00DF0880">
        <w:rPr>
          <w:rFonts w:asciiTheme="minorHAnsi" w:hAnsiTheme="minorHAnsi" w:cstheme="minorHAnsi"/>
          <w:sz w:val="22"/>
          <w:szCs w:val="22"/>
        </w:rPr>
        <w:t xml:space="preserve"> financial crisis in the 1990’s, as well as </w:t>
      </w:r>
      <w:r w:rsidR="00DF0880" w:rsidRPr="007223A6">
        <w:rPr>
          <w:rFonts w:asciiTheme="minorHAnsi" w:hAnsiTheme="minorHAnsi" w:cstheme="minorHAnsi"/>
          <w:sz w:val="22"/>
          <w:szCs w:val="22"/>
        </w:rPr>
        <w:t xml:space="preserve">the actual and hypothetical credit growth in the U.S., the UK, and the Eurozone core and periphery </w:t>
      </w:r>
      <w:r w:rsidR="005A2ED3">
        <w:rPr>
          <w:rFonts w:asciiTheme="minorHAnsi" w:hAnsiTheme="minorHAnsi" w:cstheme="minorHAnsi"/>
          <w:sz w:val="22"/>
          <w:szCs w:val="22"/>
        </w:rPr>
        <w:t>in the five years prior to the Global Financial Crisis in 2008</w:t>
      </w:r>
      <w:r w:rsidR="00DF0880" w:rsidRPr="007223A6">
        <w:rPr>
          <w:rFonts w:asciiTheme="minorHAnsi" w:hAnsiTheme="minorHAnsi" w:cstheme="minorHAnsi"/>
          <w:sz w:val="22"/>
          <w:szCs w:val="22"/>
        </w:rPr>
        <w:t xml:space="preserve">. </w:t>
      </w:r>
    </w:p>
    <w:p w:rsidR="00DF0880" w:rsidRDefault="00DF0880" w:rsidP="007223A6">
      <w:pPr>
        <w:ind w:firstLine="720"/>
        <w:jc w:val="both"/>
        <w:rPr>
          <w:rFonts w:asciiTheme="minorHAnsi" w:hAnsiTheme="minorHAnsi" w:cstheme="minorHAnsi"/>
          <w:sz w:val="22"/>
          <w:szCs w:val="22"/>
        </w:rPr>
      </w:pPr>
    </w:p>
    <w:p w:rsidR="00990FEB" w:rsidRPr="007223A6" w:rsidRDefault="00990FEB" w:rsidP="007223A6">
      <w:pPr>
        <w:ind w:firstLine="720"/>
        <w:jc w:val="both"/>
        <w:rPr>
          <w:rFonts w:asciiTheme="minorHAnsi" w:hAnsiTheme="minorHAnsi" w:cstheme="minorHAnsi"/>
          <w:sz w:val="22"/>
          <w:szCs w:val="22"/>
        </w:rPr>
      </w:pPr>
      <w:r w:rsidRPr="007223A6">
        <w:rPr>
          <w:rFonts w:asciiTheme="minorHAnsi" w:hAnsiTheme="minorHAnsi" w:cstheme="minorHAnsi"/>
          <w:sz w:val="22"/>
          <w:szCs w:val="22"/>
        </w:rPr>
        <w:t>In the last half of the 1980’s, Japan’s private sector credit to GDP ratio increased by 4</w:t>
      </w:r>
      <w:r w:rsidR="005A2ED3">
        <w:rPr>
          <w:rFonts w:asciiTheme="minorHAnsi" w:hAnsiTheme="minorHAnsi" w:cstheme="minorHAnsi"/>
          <w:sz w:val="22"/>
          <w:szCs w:val="22"/>
        </w:rPr>
        <w:t>5</w:t>
      </w:r>
      <w:r w:rsidRPr="007223A6">
        <w:rPr>
          <w:rFonts w:asciiTheme="minorHAnsi" w:hAnsiTheme="minorHAnsi" w:cstheme="minorHAnsi"/>
          <w:sz w:val="22"/>
          <w:szCs w:val="22"/>
        </w:rPr>
        <w:t xml:space="preserve"> p.p. Given the increase in Japanese per capita GDP during this time, the credit ratio should </w:t>
      </w:r>
      <w:r w:rsidR="001F0B3A">
        <w:rPr>
          <w:rFonts w:asciiTheme="minorHAnsi" w:hAnsiTheme="minorHAnsi" w:cstheme="minorHAnsi"/>
          <w:sz w:val="22"/>
          <w:szCs w:val="22"/>
        </w:rPr>
        <w:t xml:space="preserve">only </w:t>
      </w:r>
      <w:r w:rsidRPr="007223A6">
        <w:rPr>
          <w:rFonts w:asciiTheme="minorHAnsi" w:hAnsiTheme="minorHAnsi" w:cstheme="minorHAnsi"/>
          <w:sz w:val="22"/>
          <w:szCs w:val="22"/>
        </w:rPr>
        <w:t xml:space="preserve">have increased </w:t>
      </w:r>
      <w:proofErr w:type="gramStart"/>
      <w:r w:rsidRPr="007223A6">
        <w:rPr>
          <w:rFonts w:asciiTheme="minorHAnsi" w:hAnsiTheme="minorHAnsi" w:cstheme="minorHAnsi"/>
          <w:sz w:val="22"/>
          <w:szCs w:val="22"/>
        </w:rPr>
        <w:t>by 18 p.p</w:t>
      </w:r>
      <w:proofErr w:type="gramEnd"/>
      <w:r w:rsidRPr="007223A6">
        <w:rPr>
          <w:rFonts w:asciiTheme="minorHAnsi" w:hAnsiTheme="minorHAnsi" w:cstheme="minorHAnsi"/>
          <w:sz w:val="22"/>
          <w:szCs w:val="22"/>
        </w:rPr>
        <w:t xml:space="preserve">. This gap between Japanese credit growth and that that can be explained by </w:t>
      </w:r>
      <w:r w:rsidRPr="007223A6">
        <w:rPr>
          <w:rFonts w:asciiTheme="minorHAnsi" w:hAnsiTheme="minorHAnsi" w:cstheme="minorHAnsi"/>
          <w:sz w:val="22"/>
          <w:szCs w:val="22"/>
        </w:rPr>
        <w:lastRenderedPageBreak/>
        <w:t>fundament</w:t>
      </w:r>
      <w:r w:rsidR="00603F75">
        <w:rPr>
          <w:rFonts w:asciiTheme="minorHAnsi" w:hAnsiTheme="minorHAnsi" w:cstheme="minorHAnsi"/>
          <w:sz w:val="22"/>
          <w:szCs w:val="22"/>
        </w:rPr>
        <w:t>al</w:t>
      </w:r>
      <w:r w:rsidRPr="007223A6">
        <w:rPr>
          <w:rFonts w:asciiTheme="minorHAnsi" w:hAnsiTheme="minorHAnsi" w:cstheme="minorHAnsi"/>
          <w:sz w:val="22"/>
          <w:szCs w:val="22"/>
        </w:rPr>
        <w:t>s contrasts strongly with credit growth in the rest of the world at this time. In the late 1980’s, the ratio of private sector credit to GDP in the rest of the world grew by 1</w:t>
      </w:r>
      <w:r w:rsidR="005A2ED3">
        <w:rPr>
          <w:rFonts w:asciiTheme="minorHAnsi" w:hAnsiTheme="minorHAnsi" w:cstheme="minorHAnsi"/>
          <w:sz w:val="22"/>
          <w:szCs w:val="22"/>
        </w:rPr>
        <w:t>4</w:t>
      </w:r>
      <w:r w:rsidRPr="007223A6">
        <w:rPr>
          <w:rFonts w:asciiTheme="minorHAnsi" w:hAnsiTheme="minorHAnsi" w:cstheme="minorHAnsi"/>
          <w:sz w:val="22"/>
          <w:szCs w:val="22"/>
        </w:rPr>
        <w:t xml:space="preserve"> p.p., and the chart shows that nearly all of this growth in credit can be explained by </w:t>
      </w:r>
      <w:r w:rsidR="00A96BB3">
        <w:rPr>
          <w:rFonts w:asciiTheme="minorHAnsi" w:hAnsiTheme="minorHAnsi" w:cstheme="minorHAnsi"/>
          <w:sz w:val="22"/>
          <w:szCs w:val="22"/>
        </w:rPr>
        <w:t>fundamentals.</w:t>
      </w:r>
    </w:p>
    <w:p w:rsidR="00990FEB" w:rsidRPr="007223A6" w:rsidRDefault="00990FEB" w:rsidP="007223A6">
      <w:pPr>
        <w:ind w:firstLine="720"/>
        <w:jc w:val="both"/>
        <w:rPr>
          <w:rFonts w:asciiTheme="minorHAnsi" w:hAnsiTheme="minorHAnsi" w:cstheme="minorHAnsi"/>
          <w:sz w:val="22"/>
          <w:szCs w:val="22"/>
        </w:rPr>
      </w:pPr>
    </w:p>
    <w:p w:rsidR="00A96BB3" w:rsidRDefault="00A96BB3" w:rsidP="007223A6">
      <w:pPr>
        <w:ind w:firstLine="720"/>
        <w:jc w:val="both"/>
        <w:rPr>
          <w:rFonts w:asciiTheme="minorHAnsi" w:hAnsiTheme="minorHAnsi" w:cstheme="minorHAnsi"/>
          <w:sz w:val="22"/>
          <w:szCs w:val="22"/>
        </w:rPr>
      </w:pPr>
      <w:r>
        <w:rPr>
          <w:rFonts w:asciiTheme="minorHAnsi" w:hAnsiTheme="minorHAnsi" w:cstheme="minorHAnsi"/>
          <w:sz w:val="22"/>
          <w:szCs w:val="22"/>
        </w:rPr>
        <w:t>In</w:t>
      </w:r>
      <w:r w:rsidR="00990FEB" w:rsidRPr="007223A6">
        <w:rPr>
          <w:rFonts w:asciiTheme="minorHAnsi" w:hAnsiTheme="minorHAnsi" w:cstheme="minorHAnsi"/>
          <w:sz w:val="22"/>
          <w:szCs w:val="22"/>
        </w:rPr>
        <w:t xml:space="preserve"> the countries involved in the East Asian crisis in the late 1990’s, the credit to GDP ratio increased by </w:t>
      </w:r>
      <w:r w:rsidR="005A2ED3">
        <w:rPr>
          <w:rFonts w:asciiTheme="minorHAnsi" w:hAnsiTheme="minorHAnsi" w:cstheme="minorHAnsi"/>
          <w:sz w:val="22"/>
          <w:szCs w:val="22"/>
        </w:rPr>
        <w:t>34</w:t>
      </w:r>
      <w:r w:rsidR="00990FEB" w:rsidRPr="007223A6">
        <w:rPr>
          <w:rFonts w:asciiTheme="minorHAnsi" w:hAnsiTheme="minorHAnsi" w:cstheme="minorHAnsi"/>
          <w:sz w:val="22"/>
          <w:szCs w:val="22"/>
        </w:rPr>
        <w:t xml:space="preserve"> p.p. over the 5 years leading up to the crisis, but only </w:t>
      </w:r>
      <w:r w:rsidR="005A2ED3">
        <w:rPr>
          <w:rFonts w:asciiTheme="minorHAnsi" w:hAnsiTheme="minorHAnsi" w:cstheme="minorHAnsi"/>
          <w:sz w:val="22"/>
          <w:szCs w:val="22"/>
        </w:rPr>
        <w:t>8</w:t>
      </w:r>
      <w:r w:rsidR="00990FEB" w:rsidRPr="007223A6">
        <w:rPr>
          <w:rFonts w:asciiTheme="minorHAnsi" w:hAnsiTheme="minorHAnsi" w:cstheme="minorHAnsi"/>
          <w:sz w:val="22"/>
          <w:szCs w:val="22"/>
        </w:rPr>
        <w:t xml:space="preserve"> p.p. of this increase </w:t>
      </w:r>
      <w:r>
        <w:rPr>
          <w:rFonts w:asciiTheme="minorHAnsi" w:hAnsiTheme="minorHAnsi" w:cstheme="minorHAnsi"/>
          <w:sz w:val="22"/>
          <w:szCs w:val="22"/>
        </w:rPr>
        <w:t>can be explained by macroeconomic fundamentals</w:t>
      </w:r>
      <w:r w:rsidR="00990FEB" w:rsidRPr="007223A6">
        <w:rPr>
          <w:rFonts w:asciiTheme="minorHAnsi" w:hAnsiTheme="minorHAnsi" w:cstheme="minorHAnsi"/>
          <w:sz w:val="22"/>
          <w:szCs w:val="22"/>
        </w:rPr>
        <w:t>.</w:t>
      </w:r>
      <w:r w:rsidR="00990FEB" w:rsidRPr="007223A6">
        <w:rPr>
          <w:rStyle w:val="FootnoteReference"/>
          <w:rFonts w:asciiTheme="minorHAnsi" w:hAnsiTheme="minorHAnsi" w:cstheme="minorHAnsi"/>
          <w:sz w:val="22"/>
          <w:szCs w:val="22"/>
        </w:rPr>
        <w:footnoteReference w:id="2"/>
      </w:r>
      <w:r w:rsidR="00990FEB" w:rsidRPr="007223A6">
        <w:rPr>
          <w:rFonts w:asciiTheme="minorHAnsi" w:hAnsiTheme="minorHAnsi" w:cstheme="minorHAnsi"/>
          <w:sz w:val="22"/>
          <w:szCs w:val="22"/>
        </w:rPr>
        <w:t xml:space="preserve"> In the rest of the world during this same time, credit growth was actually less than what could be explained by fundamentals</w:t>
      </w:r>
      <w:r>
        <w:rPr>
          <w:rFonts w:asciiTheme="minorHAnsi" w:hAnsiTheme="minorHAnsi" w:cstheme="minorHAnsi"/>
          <w:sz w:val="22"/>
          <w:szCs w:val="22"/>
        </w:rPr>
        <w:t xml:space="preserve">. </w:t>
      </w:r>
    </w:p>
    <w:p w:rsidR="00A96BB3" w:rsidRDefault="00A96BB3" w:rsidP="007223A6">
      <w:pPr>
        <w:ind w:firstLine="720"/>
        <w:jc w:val="both"/>
        <w:rPr>
          <w:rFonts w:asciiTheme="minorHAnsi" w:hAnsiTheme="minorHAnsi" w:cstheme="minorHAnsi"/>
          <w:sz w:val="22"/>
          <w:szCs w:val="22"/>
        </w:rPr>
      </w:pPr>
    </w:p>
    <w:p w:rsidR="00990FEB" w:rsidRPr="007223A6" w:rsidRDefault="00A96BB3" w:rsidP="007223A6">
      <w:pPr>
        <w:ind w:firstLine="720"/>
        <w:jc w:val="both"/>
        <w:rPr>
          <w:rFonts w:asciiTheme="minorHAnsi" w:hAnsiTheme="minorHAnsi" w:cstheme="minorHAnsi"/>
          <w:sz w:val="22"/>
          <w:szCs w:val="22"/>
        </w:rPr>
      </w:pPr>
      <w:r>
        <w:rPr>
          <w:rFonts w:asciiTheme="minorHAnsi" w:hAnsiTheme="minorHAnsi" w:cstheme="minorHAnsi"/>
          <w:sz w:val="22"/>
          <w:szCs w:val="22"/>
        </w:rPr>
        <w:t>Similarly, i</w:t>
      </w:r>
      <w:r w:rsidR="00DF0880" w:rsidRPr="007223A6">
        <w:rPr>
          <w:rFonts w:asciiTheme="minorHAnsi" w:hAnsiTheme="minorHAnsi" w:cstheme="minorHAnsi"/>
          <w:sz w:val="22"/>
          <w:szCs w:val="22"/>
        </w:rPr>
        <w:t>n the five years leading up to the global financial crisis, the private sector credit to GDP ratio in the U.S. gr</w:t>
      </w:r>
      <w:r w:rsidR="00DF0880">
        <w:rPr>
          <w:rFonts w:asciiTheme="minorHAnsi" w:hAnsiTheme="minorHAnsi" w:cstheme="minorHAnsi"/>
          <w:sz w:val="22"/>
          <w:szCs w:val="22"/>
        </w:rPr>
        <w:t xml:space="preserve">ew by </w:t>
      </w:r>
      <w:r w:rsidR="005A2ED3">
        <w:rPr>
          <w:rFonts w:asciiTheme="minorHAnsi" w:hAnsiTheme="minorHAnsi" w:cstheme="minorHAnsi"/>
          <w:sz w:val="22"/>
          <w:szCs w:val="22"/>
        </w:rPr>
        <w:t>30</w:t>
      </w:r>
      <w:r w:rsidR="00DF0880">
        <w:rPr>
          <w:rFonts w:asciiTheme="minorHAnsi" w:hAnsiTheme="minorHAnsi" w:cstheme="minorHAnsi"/>
          <w:sz w:val="22"/>
          <w:szCs w:val="22"/>
        </w:rPr>
        <w:t xml:space="preserve"> p.p. more than what could</w:t>
      </w:r>
      <w:r w:rsidR="00DF0880" w:rsidRPr="007223A6">
        <w:rPr>
          <w:rFonts w:asciiTheme="minorHAnsi" w:hAnsiTheme="minorHAnsi" w:cstheme="minorHAnsi"/>
          <w:sz w:val="22"/>
          <w:szCs w:val="22"/>
        </w:rPr>
        <w:t xml:space="preserve"> be explained by normal economic growth, the ratio in the UK grew by </w:t>
      </w:r>
      <w:r w:rsidR="005A2ED3">
        <w:rPr>
          <w:rFonts w:asciiTheme="minorHAnsi" w:hAnsiTheme="minorHAnsi" w:cstheme="minorHAnsi"/>
          <w:sz w:val="22"/>
          <w:szCs w:val="22"/>
        </w:rPr>
        <w:t>43</w:t>
      </w:r>
      <w:r w:rsidR="00DF0880" w:rsidRPr="007223A6">
        <w:rPr>
          <w:rFonts w:asciiTheme="minorHAnsi" w:hAnsiTheme="minorHAnsi" w:cstheme="minorHAnsi"/>
          <w:sz w:val="22"/>
          <w:szCs w:val="22"/>
        </w:rPr>
        <w:t xml:space="preserve"> p.p. more than it should have, and the ratio in the Eurozone periphery grew by </w:t>
      </w:r>
      <w:r w:rsidR="005A2ED3">
        <w:rPr>
          <w:rFonts w:asciiTheme="minorHAnsi" w:hAnsiTheme="minorHAnsi" w:cstheme="minorHAnsi"/>
          <w:sz w:val="22"/>
          <w:szCs w:val="22"/>
        </w:rPr>
        <w:t>72</w:t>
      </w:r>
      <w:r w:rsidR="00DF0880" w:rsidRPr="007223A6">
        <w:rPr>
          <w:rFonts w:asciiTheme="minorHAnsi" w:hAnsiTheme="minorHAnsi" w:cstheme="minorHAnsi"/>
          <w:sz w:val="22"/>
          <w:szCs w:val="22"/>
        </w:rPr>
        <w:t xml:space="preserve"> p.p. more than can be explained by fundamentals. By contrast, the growth in private sector credit in the Eurozone core between 2003 and 2008 </w:t>
      </w:r>
      <w:r w:rsidR="00DF0880">
        <w:rPr>
          <w:rFonts w:asciiTheme="minorHAnsi" w:hAnsiTheme="minorHAnsi" w:cstheme="minorHAnsi"/>
          <w:sz w:val="22"/>
          <w:szCs w:val="22"/>
        </w:rPr>
        <w:t xml:space="preserve">was </w:t>
      </w:r>
      <w:r w:rsidR="005A2ED3">
        <w:rPr>
          <w:rFonts w:asciiTheme="minorHAnsi" w:hAnsiTheme="minorHAnsi" w:cstheme="minorHAnsi"/>
          <w:sz w:val="22"/>
          <w:szCs w:val="22"/>
        </w:rPr>
        <w:t xml:space="preserve">nearly </w:t>
      </w:r>
      <w:r w:rsidR="00DF0880">
        <w:rPr>
          <w:rFonts w:asciiTheme="minorHAnsi" w:hAnsiTheme="minorHAnsi" w:cstheme="minorHAnsi"/>
          <w:sz w:val="22"/>
          <w:szCs w:val="22"/>
        </w:rPr>
        <w:t>entirely</w:t>
      </w:r>
      <w:r w:rsidR="00DF0880" w:rsidRPr="007223A6">
        <w:rPr>
          <w:rFonts w:asciiTheme="minorHAnsi" w:hAnsiTheme="minorHAnsi" w:cstheme="minorHAnsi"/>
          <w:sz w:val="22"/>
          <w:szCs w:val="22"/>
        </w:rPr>
        <w:t xml:space="preserve"> explained by the normal process of financial deepening.</w:t>
      </w:r>
    </w:p>
    <w:p w:rsidR="00990FEB" w:rsidRPr="007223A6" w:rsidRDefault="00990FEB" w:rsidP="007223A6">
      <w:pPr>
        <w:jc w:val="both"/>
        <w:rPr>
          <w:rFonts w:asciiTheme="minorHAnsi" w:hAnsiTheme="minorHAnsi" w:cstheme="minorHAnsi"/>
          <w:i/>
          <w:sz w:val="22"/>
          <w:szCs w:val="22"/>
        </w:rPr>
      </w:pPr>
    </w:p>
    <w:p w:rsidR="00990FEB" w:rsidRPr="007223A6" w:rsidRDefault="00990FEB" w:rsidP="00DF0880">
      <w:pPr>
        <w:pStyle w:val="Caption"/>
        <w:keepNext/>
        <w:jc w:val="center"/>
        <w:rPr>
          <w:rFonts w:asciiTheme="minorHAnsi" w:hAnsiTheme="minorHAnsi" w:cstheme="minorHAnsi"/>
          <w:color w:val="auto"/>
          <w:sz w:val="22"/>
          <w:szCs w:val="22"/>
        </w:rPr>
      </w:pPr>
      <w:bookmarkStart w:id="2" w:name="_Ref365546027"/>
      <w:r w:rsidRPr="007223A6">
        <w:rPr>
          <w:rFonts w:asciiTheme="minorHAnsi" w:hAnsiTheme="minorHAnsi" w:cstheme="minorHAnsi"/>
          <w:color w:val="auto"/>
          <w:sz w:val="22"/>
          <w:szCs w:val="22"/>
        </w:rPr>
        <w:t xml:space="preserve">Chart </w:t>
      </w:r>
      <w:r w:rsidRPr="007223A6">
        <w:rPr>
          <w:rFonts w:asciiTheme="minorHAnsi" w:hAnsiTheme="minorHAnsi" w:cstheme="minorHAnsi"/>
          <w:color w:val="auto"/>
          <w:sz w:val="22"/>
          <w:szCs w:val="22"/>
        </w:rPr>
        <w:fldChar w:fldCharType="begin"/>
      </w:r>
      <w:r w:rsidRPr="007223A6">
        <w:rPr>
          <w:rFonts w:asciiTheme="minorHAnsi" w:hAnsiTheme="minorHAnsi" w:cstheme="minorHAnsi"/>
          <w:color w:val="auto"/>
          <w:sz w:val="22"/>
          <w:szCs w:val="22"/>
        </w:rPr>
        <w:instrText xml:space="preserve"> SEQ Chart \* ARABIC </w:instrText>
      </w:r>
      <w:r w:rsidRPr="007223A6">
        <w:rPr>
          <w:rFonts w:asciiTheme="minorHAnsi" w:hAnsiTheme="minorHAnsi" w:cstheme="minorHAnsi"/>
          <w:color w:val="auto"/>
          <w:sz w:val="22"/>
          <w:szCs w:val="22"/>
        </w:rPr>
        <w:fldChar w:fldCharType="separate"/>
      </w:r>
      <w:r w:rsidR="00DE35E0">
        <w:rPr>
          <w:rFonts w:asciiTheme="minorHAnsi" w:hAnsiTheme="minorHAnsi" w:cstheme="minorHAnsi"/>
          <w:noProof/>
          <w:color w:val="auto"/>
          <w:sz w:val="22"/>
          <w:szCs w:val="22"/>
        </w:rPr>
        <w:t>3</w:t>
      </w:r>
      <w:r w:rsidRPr="007223A6">
        <w:rPr>
          <w:rFonts w:asciiTheme="minorHAnsi" w:hAnsiTheme="minorHAnsi" w:cstheme="minorHAnsi"/>
          <w:color w:val="auto"/>
          <w:sz w:val="22"/>
          <w:szCs w:val="22"/>
        </w:rPr>
        <w:fldChar w:fldCharType="end"/>
      </w:r>
      <w:bookmarkEnd w:id="2"/>
      <w:r w:rsidR="00DF0880">
        <w:rPr>
          <w:rFonts w:asciiTheme="minorHAnsi" w:hAnsiTheme="minorHAnsi" w:cstheme="minorHAnsi"/>
          <w:color w:val="auto"/>
          <w:sz w:val="22"/>
          <w:szCs w:val="22"/>
        </w:rPr>
        <w:t>: A period where credit growth far exceeds that which can be explained by fundamentals is usually the harbinger of a crisis.</w:t>
      </w:r>
    </w:p>
    <w:p w:rsidR="00990FEB" w:rsidRPr="007223A6" w:rsidRDefault="005F0658" w:rsidP="00DF0880">
      <w:pPr>
        <w:jc w:val="center"/>
        <w:rPr>
          <w:rFonts w:asciiTheme="minorHAnsi" w:hAnsiTheme="minorHAnsi" w:cstheme="minorHAnsi"/>
          <w:i/>
          <w:sz w:val="22"/>
          <w:szCs w:val="22"/>
        </w:rPr>
      </w:pPr>
      <w:r w:rsidRPr="005F0658">
        <w:drawing>
          <wp:inline distT="0" distB="0" distL="0" distR="0" wp14:anchorId="2C4AEB00" wp14:editId="51261925">
            <wp:extent cx="5038344" cy="365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38344" cy="3657600"/>
                    </a:xfrm>
                    <a:prstGeom prst="rect">
                      <a:avLst/>
                    </a:prstGeom>
                    <a:noFill/>
                    <a:ln>
                      <a:noFill/>
                    </a:ln>
                  </pic:spPr>
                </pic:pic>
              </a:graphicData>
            </a:graphic>
          </wp:inline>
        </w:drawing>
      </w:r>
    </w:p>
    <w:p w:rsidR="00990FEB" w:rsidRDefault="00990FEB" w:rsidP="007223A6">
      <w:pPr>
        <w:jc w:val="both"/>
        <w:rPr>
          <w:rFonts w:asciiTheme="minorHAnsi" w:hAnsiTheme="minorHAnsi" w:cstheme="minorHAnsi"/>
          <w:sz w:val="22"/>
          <w:szCs w:val="22"/>
        </w:rPr>
      </w:pPr>
    </w:p>
    <w:p w:rsidR="00983007" w:rsidRDefault="00983007" w:rsidP="00701372">
      <w:pPr>
        <w:ind w:firstLine="720"/>
        <w:jc w:val="both"/>
        <w:rPr>
          <w:rFonts w:asciiTheme="minorHAnsi" w:hAnsiTheme="minorHAnsi" w:cstheme="minorHAnsi"/>
          <w:sz w:val="22"/>
          <w:szCs w:val="22"/>
        </w:rPr>
      </w:pPr>
    </w:p>
    <w:p w:rsidR="00990FEB" w:rsidRPr="007223A6" w:rsidRDefault="00990FEB" w:rsidP="007223A6">
      <w:pPr>
        <w:jc w:val="center"/>
        <w:rPr>
          <w:rFonts w:asciiTheme="minorHAnsi" w:hAnsiTheme="minorHAnsi" w:cstheme="minorHAnsi"/>
          <w:i/>
          <w:sz w:val="22"/>
          <w:szCs w:val="22"/>
        </w:rPr>
      </w:pPr>
    </w:p>
    <w:p w:rsidR="00990FEB" w:rsidRPr="007223A6" w:rsidRDefault="00990FEB" w:rsidP="007223A6">
      <w:pPr>
        <w:jc w:val="both"/>
        <w:rPr>
          <w:rFonts w:asciiTheme="minorHAnsi" w:hAnsiTheme="minorHAnsi" w:cstheme="minorHAnsi"/>
          <w:i/>
          <w:sz w:val="22"/>
          <w:szCs w:val="22"/>
        </w:rPr>
      </w:pPr>
    </w:p>
    <w:p w:rsidR="00E22F78" w:rsidRPr="00983007" w:rsidRDefault="00E22F78" w:rsidP="00983007">
      <w:pPr>
        <w:jc w:val="both"/>
        <w:rPr>
          <w:rFonts w:asciiTheme="minorHAnsi" w:hAnsiTheme="minorHAnsi" w:cstheme="minorHAnsi"/>
          <w:i/>
          <w:sz w:val="22"/>
          <w:szCs w:val="22"/>
        </w:rPr>
      </w:pPr>
      <w:r w:rsidRPr="00983007">
        <w:rPr>
          <w:rFonts w:asciiTheme="minorHAnsi" w:hAnsiTheme="minorHAnsi" w:cstheme="minorHAnsi"/>
          <w:i/>
          <w:sz w:val="22"/>
          <w:szCs w:val="22"/>
        </w:rPr>
        <w:lastRenderedPageBreak/>
        <w:t xml:space="preserve">Financing </w:t>
      </w:r>
      <w:r w:rsidR="00A96BB3">
        <w:rPr>
          <w:rFonts w:asciiTheme="minorHAnsi" w:hAnsiTheme="minorHAnsi" w:cstheme="minorHAnsi"/>
          <w:i/>
          <w:sz w:val="22"/>
          <w:szCs w:val="22"/>
        </w:rPr>
        <w:t>a credit boom</w:t>
      </w:r>
      <w:r w:rsidRPr="00983007">
        <w:rPr>
          <w:rFonts w:asciiTheme="minorHAnsi" w:hAnsiTheme="minorHAnsi" w:cstheme="minorHAnsi"/>
          <w:i/>
          <w:sz w:val="22"/>
          <w:szCs w:val="22"/>
        </w:rPr>
        <w:t>: the importance of the current account</w:t>
      </w:r>
    </w:p>
    <w:p w:rsidR="00983007" w:rsidRDefault="00983007" w:rsidP="00983007">
      <w:pPr>
        <w:jc w:val="both"/>
        <w:rPr>
          <w:rFonts w:asciiTheme="minorHAnsi" w:hAnsiTheme="minorHAnsi" w:cstheme="minorHAnsi"/>
          <w:i/>
          <w:sz w:val="22"/>
          <w:szCs w:val="22"/>
        </w:rPr>
      </w:pPr>
    </w:p>
    <w:p w:rsidR="00983007" w:rsidRPr="007223A6" w:rsidRDefault="00983007" w:rsidP="00983007">
      <w:pPr>
        <w:ind w:firstLine="720"/>
        <w:jc w:val="both"/>
        <w:rPr>
          <w:rFonts w:asciiTheme="minorHAnsi" w:hAnsiTheme="minorHAnsi" w:cstheme="minorHAnsi"/>
          <w:sz w:val="22"/>
          <w:szCs w:val="22"/>
        </w:rPr>
      </w:pPr>
      <w:r>
        <w:rPr>
          <w:rFonts w:asciiTheme="minorHAnsi" w:hAnsiTheme="minorHAnsi" w:cstheme="minorHAnsi"/>
          <w:sz w:val="22"/>
          <w:szCs w:val="22"/>
        </w:rPr>
        <w:t>Comparing the scale of the credit growth in China over the last five years to that in these past crisis episodes certainly suggests that a banking crisis is imminent in China, but only with a statistical analysis of a historical dataset of credit growth and banking crisis can one actually calculate the effect of this credit growth on the probability of a banking crisis.</w:t>
      </w:r>
    </w:p>
    <w:p w:rsidR="00983007" w:rsidRPr="00983007" w:rsidRDefault="00983007" w:rsidP="00983007">
      <w:pPr>
        <w:jc w:val="both"/>
        <w:rPr>
          <w:rFonts w:asciiTheme="minorHAnsi" w:hAnsiTheme="minorHAnsi" w:cstheme="minorHAnsi"/>
          <w:i/>
          <w:sz w:val="22"/>
          <w:szCs w:val="22"/>
        </w:rPr>
      </w:pPr>
    </w:p>
    <w:p w:rsidR="00E22F78" w:rsidRDefault="00A73367" w:rsidP="00307469">
      <w:pPr>
        <w:ind w:firstLine="720"/>
        <w:jc w:val="both"/>
        <w:rPr>
          <w:rFonts w:asciiTheme="minorHAnsi" w:hAnsiTheme="minorHAnsi" w:cstheme="minorHAnsi"/>
          <w:sz w:val="22"/>
          <w:szCs w:val="22"/>
        </w:rPr>
      </w:pPr>
      <w:r>
        <w:rPr>
          <w:rFonts w:asciiTheme="minorHAnsi" w:hAnsiTheme="minorHAnsi" w:cstheme="minorHAnsi"/>
          <w:sz w:val="22"/>
          <w:szCs w:val="22"/>
        </w:rPr>
        <w:t xml:space="preserve">To calculate the effect of credit growth on the probability of a banking crisis, </w:t>
      </w:r>
      <w:r w:rsidR="00AD2F98">
        <w:rPr>
          <w:rFonts w:asciiTheme="minorHAnsi" w:hAnsiTheme="minorHAnsi" w:cstheme="minorHAnsi"/>
          <w:sz w:val="22"/>
          <w:szCs w:val="22"/>
        </w:rPr>
        <w:t xml:space="preserve">with a probabilistic model </w:t>
      </w:r>
      <w:r>
        <w:rPr>
          <w:rFonts w:asciiTheme="minorHAnsi" w:hAnsiTheme="minorHAnsi" w:cstheme="minorHAnsi"/>
          <w:sz w:val="22"/>
          <w:szCs w:val="22"/>
        </w:rPr>
        <w:t>we regress a variable describing the incidence of a banking crisis in a given year and a given country on the excess credit growth in that country over the previous five years and other country specific variables (including the current account, the output gap, the inflation rate, and whether the country h</w:t>
      </w:r>
      <w:r w:rsidR="00AD2F98">
        <w:rPr>
          <w:rFonts w:asciiTheme="minorHAnsi" w:hAnsiTheme="minorHAnsi" w:cstheme="minorHAnsi"/>
          <w:sz w:val="22"/>
          <w:szCs w:val="22"/>
        </w:rPr>
        <w:t>as a fixed or floating currency</w:t>
      </w:r>
      <w:r>
        <w:rPr>
          <w:rFonts w:asciiTheme="minorHAnsi" w:hAnsiTheme="minorHAnsi" w:cstheme="minorHAnsi"/>
          <w:sz w:val="22"/>
          <w:szCs w:val="22"/>
        </w:rPr>
        <w:t xml:space="preserve">. The estimated coefficients from this regression describe the “marginal effect” of an increase in the credit-to-GDP ratio on the probability of a banking crisis. Specifically, this marginal effect measures the change in the probability of a banking crisis resulting from a one percentage point increase </w:t>
      </w:r>
      <w:r w:rsidR="00A96BB3">
        <w:rPr>
          <w:rFonts w:asciiTheme="minorHAnsi" w:hAnsiTheme="minorHAnsi" w:cstheme="minorHAnsi"/>
          <w:sz w:val="22"/>
          <w:szCs w:val="22"/>
        </w:rPr>
        <w:t>in the private sector credit-to-GDP ratio.</w:t>
      </w:r>
    </w:p>
    <w:p w:rsidR="00AD2F98" w:rsidRDefault="00AD2F98" w:rsidP="00E22F78">
      <w:pPr>
        <w:jc w:val="both"/>
        <w:rPr>
          <w:rFonts w:asciiTheme="minorHAnsi" w:hAnsiTheme="minorHAnsi" w:cstheme="minorHAnsi"/>
          <w:sz w:val="22"/>
          <w:szCs w:val="22"/>
        </w:rPr>
      </w:pPr>
    </w:p>
    <w:p w:rsidR="00E22F78" w:rsidRDefault="00AD2F98" w:rsidP="00307469">
      <w:pPr>
        <w:ind w:firstLine="720"/>
        <w:jc w:val="both"/>
        <w:rPr>
          <w:rFonts w:asciiTheme="minorHAnsi" w:hAnsiTheme="minorHAnsi" w:cstheme="minorHAnsi"/>
          <w:sz w:val="22"/>
          <w:szCs w:val="22"/>
        </w:rPr>
      </w:pPr>
      <w:r>
        <w:rPr>
          <w:rFonts w:asciiTheme="minorHAnsi" w:hAnsiTheme="minorHAnsi" w:cstheme="minorHAnsi"/>
          <w:sz w:val="22"/>
          <w:szCs w:val="22"/>
        </w:rPr>
        <w:t xml:space="preserve">We consider two specifications to estimate the marginal effect of credit growth on the probability of a banking crisis. In the first, we do not </w:t>
      </w:r>
      <w:r w:rsidR="00307469">
        <w:rPr>
          <w:rFonts w:asciiTheme="minorHAnsi" w:hAnsiTheme="minorHAnsi" w:cstheme="minorHAnsi"/>
          <w:sz w:val="22"/>
          <w:szCs w:val="22"/>
        </w:rPr>
        <w:t>allow</w:t>
      </w:r>
      <w:r>
        <w:rPr>
          <w:rFonts w:asciiTheme="minorHAnsi" w:hAnsiTheme="minorHAnsi" w:cstheme="minorHAnsi"/>
          <w:sz w:val="22"/>
          <w:szCs w:val="22"/>
        </w:rPr>
        <w:t xml:space="preserve"> an interaction between credit growth and a country’s current account balance. Credit growth is just as likely to lead to a crisis whether that credit was financed at home or abroad. In the second specification we allow for the possibility that there may be an interaction between credit growth and the current account. When we allow for this interaction, the marginal effect is actually a function of a country’s current account balance.  </w:t>
      </w:r>
    </w:p>
    <w:p w:rsidR="00AD2F98" w:rsidRDefault="00AD2F98" w:rsidP="00AD2F98">
      <w:pPr>
        <w:jc w:val="both"/>
        <w:rPr>
          <w:rFonts w:asciiTheme="minorHAnsi" w:hAnsiTheme="minorHAnsi" w:cstheme="minorHAnsi"/>
          <w:sz w:val="22"/>
          <w:szCs w:val="22"/>
        </w:rPr>
      </w:pPr>
    </w:p>
    <w:p w:rsidR="00AD2F98" w:rsidRPr="000251FD" w:rsidRDefault="00AD2F98" w:rsidP="00307469">
      <w:pPr>
        <w:ind w:firstLine="720"/>
        <w:jc w:val="both"/>
        <w:rPr>
          <w:rFonts w:asciiTheme="minorHAnsi" w:hAnsiTheme="minorHAnsi" w:cstheme="minorHAnsi"/>
          <w:sz w:val="22"/>
          <w:szCs w:val="22"/>
        </w:rPr>
      </w:pPr>
      <w:r>
        <w:rPr>
          <w:rFonts w:asciiTheme="minorHAnsi" w:hAnsiTheme="minorHAnsi" w:cstheme="minorHAnsi"/>
          <w:sz w:val="22"/>
          <w:szCs w:val="22"/>
        </w:rPr>
        <w:t xml:space="preserve">Without going into detail about the exact regression specifications, </w:t>
      </w:r>
      <w:r w:rsidR="000251FD">
        <w:rPr>
          <w:rFonts w:asciiTheme="minorHAnsi" w:hAnsiTheme="minorHAnsi" w:cstheme="minorHAnsi"/>
          <w:sz w:val="22"/>
          <w:szCs w:val="22"/>
        </w:rPr>
        <w:t>our estimates of the</w:t>
      </w:r>
      <w:r>
        <w:rPr>
          <w:rFonts w:asciiTheme="minorHAnsi" w:hAnsiTheme="minorHAnsi" w:cstheme="minorHAnsi"/>
          <w:sz w:val="22"/>
          <w:szCs w:val="22"/>
        </w:rPr>
        <w:t xml:space="preserve"> marginal effect of credit growth on the probability of a banking crisis </w:t>
      </w:r>
      <w:r w:rsidR="000251FD">
        <w:rPr>
          <w:rFonts w:asciiTheme="minorHAnsi" w:hAnsiTheme="minorHAnsi" w:cstheme="minorHAnsi"/>
          <w:sz w:val="22"/>
          <w:szCs w:val="22"/>
        </w:rPr>
        <w:t xml:space="preserve">under these two specifications </w:t>
      </w:r>
      <w:r w:rsidR="00307469">
        <w:rPr>
          <w:rFonts w:asciiTheme="minorHAnsi" w:hAnsiTheme="minorHAnsi" w:cstheme="minorHAnsi"/>
          <w:sz w:val="22"/>
          <w:szCs w:val="22"/>
        </w:rPr>
        <w:t>are</w:t>
      </w:r>
      <w:r w:rsidR="000251FD">
        <w:rPr>
          <w:rFonts w:asciiTheme="minorHAnsi" w:hAnsiTheme="minorHAnsi" w:cstheme="minorHAnsi"/>
          <w:sz w:val="22"/>
          <w:szCs w:val="22"/>
        </w:rPr>
        <w:t xml:space="preserve"> presented in </w:t>
      </w:r>
      <w:r w:rsidR="000251FD" w:rsidRPr="000251FD">
        <w:rPr>
          <w:rFonts w:asciiTheme="minorHAnsi" w:hAnsiTheme="minorHAnsi" w:cstheme="minorHAnsi"/>
          <w:b/>
          <w:sz w:val="22"/>
          <w:szCs w:val="22"/>
        </w:rPr>
        <w:t>Chart 4</w:t>
      </w:r>
      <w:r w:rsidR="000251FD">
        <w:rPr>
          <w:rFonts w:asciiTheme="minorHAnsi" w:hAnsiTheme="minorHAnsi" w:cstheme="minorHAnsi"/>
          <w:sz w:val="22"/>
          <w:szCs w:val="22"/>
        </w:rPr>
        <w:t>. When we do not allow for an interaction between credit growth and the current account, the marginal effect is constant and equal to 0.</w:t>
      </w:r>
      <w:r w:rsidR="005F0658">
        <w:rPr>
          <w:rFonts w:asciiTheme="minorHAnsi" w:hAnsiTheme="minorHAnsi" w:cstheme="minorHAnsi"/>
          <w:sz w:val="22"/>
          <w:szCs w:val="22"/>
        </w:rPr>
        <w:t>133</w:t>
      </w:r>
      <w:r w:rsidR="000251FD">
        <w:rPr>
          <w:rFonts w:asciiTheme="minorHAnsi" w:hAnsiTheme="minorHAnsi" w:cstheme="minorHAnsi"/>
          <w:sz w:val="22"/>
          <w:szCs w:val="22"/>
        </w:rPr>
        <w:t>.</w:t>
      </w:r>
      <w:r w:rsidR="009C5A9C">
        <w:rPr>
          <w:rStyle w:val="FootnoteReference"/>
          <w:rFonts w:asciiTheme="minorHAnsi" w:hAnsiTheme="minorHAnsi" w:cstheme="minorHAnsi"/>
          <w:sz w:val="22"/>
          <w:szCs w:val="22"/>
        </w:rPr>
        <w:footnoteReference w:id="3"/>
      </w:r>
      <w:r w:rsidR="000251FD">
        <w:rPr>
          <w:rFonts w:asciiTheme="minorHAnsi" w:hAnsiTheme="minorHAnsi" w:cstheme="minorHAnsi"/>
          <w:sz w:val="22"/>
          <w:szCs w:val="22"/>
        </w:rPr>
        <w:t xml:space="preserve"> This says that a 10 percentage point increase in the credit-to-GDP over a 5 year period should raise the probability of a banking crisis by </w:t>
      </w:r>
      <w:r w:rsidR="005F0658">
        <w:rPr>
          <w:rFonts w:asciiTheme="minorHAnsi" w:hAnsiTheme="minorHAnsi" w:cstheme="minorHAnsi"/>
          <w:sz w:val="22"/>
          <w:szCs w:val="22"/>
        </w:rPr>
        <w:t>1.33</w:t>
      </w:r>
      <w:r w:rsidR="000251FD">
        <w:rPr>
          <w:rFonts w:asciiTheme="minorHAnsi" w:hAnsiTheme="minorHAnsi" w:cstheme="minorHAnsi"/>
          <w:sz w:val="22"/>
          <w:szCs w:val="22"/>
        </w:rPr>
        <w:t xml:space="preserve"> percentage points. When we allow for an interaction between credit growth and the current account, the marginal effect is a decreasing function of a country’s current account balance. For a country with a balanced current account, this marginal effect is around 0.</w:t>
      </w:r>
      <w:r w:rsidR="005F0658">
        <w:rPr>
          <w:rFonts w:asciiTheme="minorHAnsi" w:hAnsiTheme="minorHAnsi" w:cstheme="minorHAnsi"/>
          <w:sz w:val="22"/>
          <w:szCs w:val="22"/>
        </w:rPr>
        <w:t>08</w:t>
      </w:r>
      <w:r w:rsidR="000251FD">
        <w:rPr>
          <w:rFonts w:asciiTheme="minorHAnsi" w:hAnsiTheme="minorHAnsi" w:cstheme="minorHAnsi"/>
          <w:sz w:val="22"/>
          <w:szCs w:val="22"/>
        </w:rPr>
        <w:t>. For a country with a current account surplus of 5% of GDP, this marginal effect is only 0.</w:t>
      </w:r>
      <w:r w:rsidR="005F0658">
        <w:rPr>
          <w:rFonts w:asciiTheme="minorHAnsi" w:hAnsiTheme="minorHAnsi" w:cstheme="minorHAnsi"/>
          <w:sz w:val="22"/>
          <w:szCs w:val="22"/>
        </w:rPr>
        <w:t>04</w:t>
      </w:r>
      <w:r w:rsidR="000251FD">
        <w:rPr>
          <w:rFonts w:asciiTheme="minorHAnsi" w:hAnsiTheme="minorHAnsi" w:cstheme="minorHAnsi"/>
          <w:sz w:val="22"/>
          <w:szCs w:val="22"/>
        </w:rPr>
        <w:t>, but for a country with a current account deficit of 5% of GDP, it is around 0.</w:t>
      </w:r>
      <w:r w:rsidR="005F0658">
        <w:rPr>
          <w:rFonts w:asciiTheme="minorHAnsi" w:hAnsiTheme="minorHAnsi" w:cstheme="minorHAnsi"/>
          <w:sz w:val="22"/>
          <w:szCs w:val="22"/>
        </w:rPr>
        <w:t>31</w:t>
      </w:r>
      <w:r w:rsidR="000251FD">
        <w:rPr>
          <w:rFonts w:asciiTheme="minorHAnsi" w:hAnsiTheme="minorHAnsi" w:cstheme="minorHAnsi"/>
          <w:sz w:val="22"/>
          <w:szCs w:val="22"/>
        </w:rPr>
        <w:t>.</w:t>
      </w:r>
      <w:r w:rsidR="009C5A9C">
        <w:rPr>
          <w:rStyle w:val="FootnoteReference"/>
          <w:rFonts w:asciiTheme="minorHAnsi" w:hAnsiTheme="minorHAnsi" w:cstheme="minorHAnsi"/>
          <w:sz w:val="22"/>
          <w:szCs w:val="22"/>
        </w:rPr>
        <w:footnoteReference w:id="4"/>
      </w:r>
    </w:p>
    <w:p w:rsidR="00AD2F98" w:rsidRDefault="00AD2F98" w:rsidP="00E22F78">
      <w:pPr>
        <w:jc w:val="both"/>
        <w:rPr>
          <w:rFonts w:asciiTheme="minorHAnsi" w:hAnsiTheme="minorHAnsi" w:cstheme="minorHAnsi"/>
          <w:sz w:val="22"/>
          <w:szCs w:val="22"/>
        </w:rPr>
      </w:pPr>
    </w:p>
    <w:p w:rsidR="00DC69AC" w:rsidRDefault="00DC69AC" w:rsidP="00E22F78">
      <w:pPr>
        <w:jc w:val="both"/>
        <w:rPr>
          <w:rFonts w:asciiTheme="minorHAnsi" w:hAnsiTheme="minorHAnsi" w:cstheme="minorHAnsi"/>
          <w:sz w:val="22"/>
          <w:szCs w:val="22"/>
        </w:rPr>
      </w:pPr>
    </w:p>
    <w:p w:rsidR="00226D86" w:rsidRDefault="00226D86" w:rsidP="00E22F78">
      <w:pPr>
        <w:jc w:val="both"/>
        <w:rPr>
          <w:rFonts w:asciiTheme="minorHAnsi" w:hAnsiTheme="minorHAnsi" w:cstheme="minorHAnsi"/>
          <w:sz w:val="22"/>
          <w:szCs w:val="22"/>
        </w:rPr>
      </w:pPr>
    </w:p>
    <w:p w:rsidR="00226D86" w:rsidRDefault="00226D86" w:rsidP="00E22F78">
      <w:pPr>
        <w:jc w:val="both"/>
        <w:rPr>
          <w:rFonts w:asciiTheme="minorHAnsi" w:hAnsiTheme="minorHAnsi" w:cstheme="minorHAnsi"/>
          <w:sz w:val="22"/>
          <w:szCs w:val="22"/>
        </w:rPr>
      </w:pPr>
    </w:p>
    <w:p w:rsidR="00226D86" w:rsidRDefault="00226D86" w:rsidP="00E22F78">
      <w:pPr>
        <w:jc w:val="both"/>
        <w:rPr>
          <w:rFonts w:asciiTheme="minorHAnsi" w:hAnsiTheme="minorHAnsi" w:cstheme="minorHAnsi"/>
          <w:sz w:val="22"/>
          <w:szCs w:val="22"/>
        </w:rPr>
      </w:pPr>
    </w:p>
    <w:p w:rsidR="00226D86" w:rsidRDefault="00226D86" w:rsidP="00E22F78">
      <w:pPr>
        <w:jc w:val="both"/>
        <w:rPr>
          <w:rFonts w:asciiTheme="minorHAnsi" w:hAnsiTheme="minorHAnsi" w:cstheme="minorHAnsi"/>
          <w:sz w:val="22"/>
          <w:szCs w:val="22"/>
        </w:rPr>
      </w:pPr>
      <w:bookmarkStart w:id="3" w:name="_GoBack"/>
      <w:bookmarkEnd w:id="3"/>
    </w:p>
    <w:p w:rsidR="00226D86" w:rsidRDefault="00226D86" w:rsidP="00E22F78">
      <w:pPr>
        <w:jc w:val="both"/>
        <w:rPr>
          <w:rFonts w:asciiTheme="minorHAnsi" w:hAnsiTheme="minorHAnsi" w:cstheme="minorHAnsi"/>
          <w:sz w:val="22"/>
          <w:szCs w:val="22"/>
        </w:rPr>
      </w:pPr>
    </w:p>
    <w:p w:rsidR="00226D86" w:rsidRDefault="00226D86" w:rsidP="00E22F78">
      <w:pPr>
        <w:jc w:val="both"/>
        <w:rPr>
          <w:rFonts w:asciiTheme="minorHAnsi" w:hAnsiTheme="minorHAnsi" w:cstheme="minorHAnsi"/>
          <w:sz w:val="22"/>
          <w:szCs w:val="22"/>
        </w:rPr>
      </w:pPr>
    </w:p>
    <w:p w:rsidR="00AD2F98" w:rsidRPr="00AD2F98" w:rsidRDefault="00AD2F98" w:rsidP="00AD2F98">
      <w:pPr>
        <w:jc w:val="center"/>
        <w:rPr>
          <w:rFonts w:asciiTheme="minorHAnsi" w:hAnsiTheme="minorHAnsi" w:cstheme="minorHAnsi"/>
          <w:b/>
          <w:sz w:val="22"/>
          <w:szCs w:val="22"/>
        </w:rPr>
      </w:pPr>
      <w:r w:rsidRPr="00AD2F98">
        <w:rPr>
          <w:rFonts w:asciiTheme="minorHAnsi" w:hAnsiTheme="minorHAnsi" w:cstheme="minorHAnsi"/>
          <w:b/>
          <w:sz w:val="22"/>
          <w:szCs w:val="22"/>
        </w:rPr>
        <w:lastRenderedPageBreak/>
        <w:t>Chart 4: The effect of credit growth on the probability of a crisis gets larger as the current account falls into deficit</w:t>
      </w:r>
    </w:p>
    <w:p w:rsidR="006B67B9" w:rsidRDefault="006B67B9" w:rsidP="00E22F78">
      <w:pPr>
        <w:jc w:val="both"/>
        <w:rPr>
          <w:rFonts w:asciiTheme="minorHAnsi" w:hAnsiTheme="minorHAnsi" w:cstheme="minorHAnsi"/>
          <w:sz w:val="22"/>
          <w:szCs w:val="22"/>
        </w:rPr>
      </w:pPr>
    </w:p>
    <w:p w:rsidR="00E22F78" w:rsidRDefault="005F0658" w:rsidP="00AD2F98">
      <w:pPr>
        <w:jc w:val="center"/>
        <w:rPr>
          <w:rFonts w:asciiTheme="minorHAnsi" w:hAnsiTheme="minorHAnsi" w:cstheme="minorHAnsi"/>
          <w:sz w:val="22"/>
          <w:szCs w:val="22"/>
        </w:rPr>
      </w:pPr>
      <w:r w:rsidRPr="005F0658">
        <w:drawing>
          <wp:inline distT="0" distB="0" distL="0" distR="0" wp14:anchorId="63F4D61F" wp14:editId="42C74D49">
            <wp:extent cx="5943600" cy="431074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4310743"/>
                    </a:xfrm>
                    <a:prstGeom prst="rect">
                      <a:avLst/>
                    </a:prstGeom>
                    <a:noFill/>
                    <a:ln>
                      <a:noFill/>
                    </a:ln>
                  </pic:spPr>
                </pic:pic>
              </a:graphicData>
            </a:graphic>
          </wp:inline>
        </w:drawing>
      </w:r>
    </w:p>
    <w:p w:rsidR="00AD2F98" w:rsidRDefault="00AD2F98" w:rsidP="00AD2F98">
      <w:pPr>
        <w:jc w:val="center"/>
        <w:rPr>
          <w:rFonts w:asciiTheme="minorHAnsi" w:hAnsiTheme="minorHAnsi" w:cstheme="minorHAnsi"/>
          <w:sz w:val="22"/>
          <w:szCs w:val="22"/>
        </w:rPr>
      </w:pPr>
    </w:p>
    <w:p w:rsidR="00E22F78" w:rsidRDefault="001E630A" w:rsidP="00307469">
      <w:pPr>
        <w:ind w:firstLine="720"/>
        <w:jc w:val="both"/>
        <w:rPr>
          <w:rFonts w:asciiTheme="minorHAnsi" w:hAnsiTheme="minorHAnsi" w:cstheme="minorHAnsi"/>
          <w:sz w:val="22"/>
          <w:szCs w:val="22"/>
        </w:rPr>
      </w:pPr>
      <w:r w:rsidRPr="00F43974">
        <w:rPr>
          <w:rFonts w:asciiTheme="minorHAnsi" w:hAnsiTheme="minorHAnsi" w:cstheme="minorHAnsi"/>
          <w:b/>
          <w:sz w:val="22"/>
          <w:szCs w:val="22"/>
        </w:rPr>
        <w:t>Table 1</w:t>
      </w:r>
      <w:r>
        <w:rPr>
          <w:rFonts w:asciiTheme="minorHAnsi" w:hAnsiTheme="minorHAnsi" w:cstheme="minorHAnsi"/>
          <w:sz w:val="22"/>
          <w:szCs w:val="22"/>
        </w:rPr>
        <w:t xml:space="preserve"> </w:t>
      </w:r>
      <w:r w:rsidR="00F43974">
        <w:rPr>
          <w:rFonts w:asciiTheme="minorHAnsi" w:hAnsiTheme="minorHAnsi" w:cstheme="minorHAnsi"/>
          <w:sz w:val="22"/>
          <w:szCs w:val="22"/>
        </w:rPr>
        <w:t xml:space="preserve">reports the amount of excess credit growth, the current account balance (as a % of GDP), </w:t>
      </w:r>
      <w:r w:rsidR="005806EA">
        <w:rPr>
          <w:rFonts w:asciiTheme="minorHAnsi" w:hAnsiTheme="minorHAnsi" w:cstheme="minorHAnsi"/>
          <w:sz w:val="22"/>
          <w:szCs w:val="22"/>
        </w:rPr>
        <w:t xml:space="preserve">and </w:t>
      </w:r>
      <w:r w:rsidR="00F43974">
        <w:rPr>
          <w:rFonts w:asciiTheme="minorHAnsi" w:hAnsiTheme="minorHAnsi" w:cstheme="minorHAnsi"/>
          <w:sz w:val="22"/>
          <w:szCs w:val="22"/>
        </w:rPr>
        <w:t>the marginal effect of credit growth on the probability of a banking crisis implied by our probabilistic model in some importan</w:t>
      </w:r>
      <w:r w:rsidR="005806EA">
        <w:rPr>
          <w:rFonts w:asciiTheme="minorHAnsi" w:hAnsiTheme="minorHAnsi" w:cstheme="minorHAnsi"/>
          <w:sz w:val="22"/>
          <w:szCs w:val="22"/>
        </w:rPr>
        <w:t xml:space="preserve">t crisis episodes. The marginal </w:t>
      </w:r>
      <w:r w:rsidR="00F43974">
        <w:rPr>
          <w:rFonts w:asciiTheme="minorHAnsi" w:hAnsiTheme="minorHAnsi" w:cstheme="minorHAnsi"/>
          <w:sz w:val="22"/>
          <w:szCs w:val="22"/>
        </w:rPr>
        <w:t xml:space="preserve">are calculated under both specifications, ME1 are the estimates </w:t>
      </w:r>
      <w:r w:rsidR="005806EA">
        <w:rPr>
          <w:rFonts w:asciiTheme="minorHAnsi" w:hAnsiTheme="minorHAnsi" w:cstheme="minorHAnsi"/>
          <w:sz w:val="22"/>
          <w:szCs w:val="22"/>
        </w:rPr>
        <w:t xml:space="preserve">of the marginal effect </w:t>
      </w:r>
      <w:r w:rsidR="00F43974">
        <w:rPr>
          <w:rFonts w:asciiTheme="minorHAnsi" w:hAnsiTheme="minorHAnsi" w:cstheme="minorHAnsi"/>
          <w:sz w:val="22"/>
          <w:szCs w:val="22"/>
        </w:rPr>
        <w:t xml:space="preserve">when we don’t allow an interaction between credit growth and the current account, </w:t>
      </w:r>
      <w:proofErr w:type="gramStart"/>
      <w:r w:rsidR="00F43974">
        <w:rPr>
          <w:rFonts w:asciiTheme="minorHAnsi" w:hAnsiTheme="minorHAnsi" w:cstheme="minorHAnsi"/>
          <w:sz w:val="22"/>
          <w:szCs w:val="22"/>
        </w:rPr>
        <w:t>ME2</w:t>
      </w:r>
      <w:proofErr w:type="gramEnd"/>
      <w:r w:rsidR="00F43974">
        <w:rPr>
          <w:rFonts w:asciiTheme="minorHAnsi" w:hAnsiTheme="minorHAnsi" w:cstheme="minorHAnsi"/>
          <w:sz w:val="22"/>
          <w:szCs w:val="22"/>
        </w:rPr>
        <w:t xml:space="preserve"> are the estimates when such an interaction is allowed.</w:t>
      </w:r>
    </w:p>
    <w:p w:rsidR="0093238B" w:rsidRDefault="0093238B" w:rsidP="00E22F78">
      <w:pPr>
        <w:jc w:val="both"/>
        <w:rPr>
          <w:rFonts w:asciiTheme="minorHAnsi" w:hAnsiTheme="minorHAnsi" w:cstheme="minorHAnsi"/>
          <w:sz w:val="22"/>
          <w:szCs w:val="22"/>
        </w:rPr>
      </w:pPr>
    </w:p>
    <w:p w:rsidR="0093238B" w:rsidRDefault="0093238B" w:rsidP="005806EA">
      <w:pPr>
        <w:ind w:firstLine="720"/>
        <w:jc w:val="both"/>
        <w:rPr>
          <w:rFonts w:asciiTheme="minorHAnsi" w:hAnsiTheme="minorHAnsi" w:cstheme="minorHAnsi"/>
          <w:sz w:val="22"/>
          <w:szCs w:val="22"/>
        </w:rPr>
      </w:pPr>
      <w:r>
        <w:rPr>
          <w:rFonts w:asciiTheme="minorHAnsi" w:hAnsiTheme="minorHAnsi" w:cstheme="minorHAnsi"/>
          <w:sz w:val="22"/>
          <w:szCs w:val="22"/>
        </w:rPr>
        <w:t>The table reports that in the 5 years prior to 2008, the Euro Area periphery experienced excess growth in the private sector credit-to-GDP ratio of 72 percentage points. During 2007, the</w:t>
      </w:r>
      <w:r w:rsidR="00307469">
        <w:rPr>
          <w:rFonts w:asciiTheme="minorHAnsi" w:hAnsiTheme="minorHAnsi" w:cstheme="minorHAnsi"/>
          <w:sz w:val="22"/>
          <w:szCs w:val="22"/>
        </w:rPr>
        <w:t>se</w:t>
      </w:r>
      <w:r>
        <w:rPr>
          <w:rFonts w:asciiTheme="minorHAnsi" w:hAnsiTheme="minorHAnsi" w:cstheme="minorHAnsi"/>
          <w:sz w:val="22"/>
          <w:szCs w:val="22"/>
        </w:rPr>
        <w:t xml:space="preserve"> countries ran a current account deficit of 10% of GDP. Without allowing for an interaction between credit growth and the current account, each percentage point of credit growth should increase the probability of a banking crisis by 0.</w:t>
      </w:r>
      <w:r w:rsidR="005806EA">
        <w:rPr>
          <w:rFonts w:asciiTheme="minorHAnsi" w:hAnsiTheme="minorHAnsi" w:cstheme="minorHAnsi"/>
          <w:sz w:val="22"/>
          <w:szCs w:val="22"/>
        </w:rPr>
        <w:t>13</w:t>
      </w:r>
      <w:r>
        <w:rPr>
          <w:rFonts w:asciiTheme="minorHAnsi" w:hAnsiTheme="minorHAnsi" w:cstheme="minorHAnsi"/>
          <w:sz w:val="22"/>
          <w:szCs w:val="22"/>
        </w:rPr>
        <w:t xml:space="preserve"> percentage points. When the model allows for an interaction between credit growth and the current account, the estimated marginal effect is now 0.</w:t>
      </w:r>
      <w:r w:rsidR="005806EA">
        <w:rPr>
          <w:rFonts w:asciiTheme="minorHAnsi" w:hAnsiTheme="minorHAnsi" w:cstheme="minorHAnsi"/>
          <w:sz w:val="22"/>
          <w:szCs w:val="22"/>
        </w:rPr>
        <w:t>55.</w:t>
      </w:r>
    </w:p>
    <w:p w:rsidR="005806EA" w:rsidRDefault="005806EA" w:rsidP="005806EA">
      <w:pPr>
        <w:ind w:firstLine="720"/>
        <w:jc w:val="both"/>
        <w:rPr>
          <w:rFonts w:asciiTheme="minorHAnsi" w:hAnsiTheme="minorHAnsi" w:cstheme="minorHAnsi"/>
          <w:sz w:val="22"/>
          <w:szCs w:val="22"/>
        </w:rPr>
      </w:pPr>
    </w:p>
    <w:p w:rsidR="00226D86" w:rsidRDefault="005806EA" w:rsidP="005806EA">
      <w:pPr>
        <w:ind w:firstLine="720"/>
        <w:jc w:val="both"/>
        <w:rPr>
          <w:rFonts w:asciiTheme="minorHAnsi" w:hAnsiTheme="minorHAnsi" w:cstheme="minorHAnsi"/>
          <w:sz w:val="22"/>
          <w:szCs w:val="22"/>
        </w:rPr>
      </w:pPr>
      <w:r>
        <w:rPr>
          <w:rFonts w:asciiTheme="minorHAnsi" w:hAnsiTheme="minorHAnsi" w:cstheme="minorHAnsi"/>
          <w:sz w:val="22"/>
          <w:szCs w:val="22"/>
        </w:rPr>
        <w:t xml:space="preserve">The table shows that over the past 5 years, China has seen more growth in the private sector credit to GDP ratio than that witnessed in the United States between 2003 and 2008. However, in 2007, the U.S. ran a current account deficit of 5% of GDP, while in 2012 China had a current account surplus in excess of 2% of GDP. The estimated marginal effects show that when accounting for the effect of a </w:t>
      </w:r>
      <w:r>
        <w:rPr>
          <w:rFonts w:asciiTheme="minorHAnsi" w:hAnsiTheme="minorHAnsi" w:cstheme="minorHAnsi"/>
          <w:sz w:val="22"/>
          <w:szCs w:val="22"/>
        </w:rPr>
        <w:lastRenderedPageBreak/>
        <w:t>current account deficit or surplus, each additional percentage point of credit growth in the U.S. prior to 2008 led to a 0.3 percentage point increase in the probability of a crisis, while the same credit growth in China should only lead to a 0.07 percentage point increase in the probability of a crisis.</w:t>
      </w:r>
    </w:p>
    <w:p w:rsidR="00226D86" w:rsidRDefault="00226D86" w:rsidP="00E22F78">
      <w:pPr>
        <w:jc w:val="both"/>
        <w:rPr>
          <w:rFonts w:asciiTheme="minorHAnsi" w:hAnsiTheme="minorHAnsi" w:cstheme="minorHAnsi"/>
          <w:sz w:val="22"/>
          <w:szCs w:val="22"/>
        </w:rPr>
      </w:pPr>
    </w:p>
    <w:p w:rsidR="00226D86" w:rsidRDefault="00226D86" w:rsidP="00E22F78">
      <w:pPr>
        <w:jc w:val="both"/>
        <w:rPr>
          <w:rFonts w:asciiTheme="minorHAnsi" w:hAnsiTheme="minorHAnsi" w:cstheme="minorHAnsi"/>
          <w:sz w:val="22"/>
          <w:szCs w:val="22"/>
        </w:rPr>
      </w:pPr>
    </w:p>
    <w:p w:rsidR="00226D86" w:rsidRDefault="00226D86" w:rsidP="00E22F78">
      <w:pPr>
        <w:jc w:val="both"/>
        <w:rPr>
          <w:rFonts w:asciiTheme="minorHAnsi" w:hAnsiTheme="minorHAnsi" w:cstheme="minorHAnsi"/>
          <w:sz w:val="22"/>
          <w:szCs w:val="22"/>
        </w:rPr>
      </w:pPr>
    </w:p>
    <w:p w:rsidR="00E22F78" w:rsidRDefault="00E22F78" w:rsidP="00F43974">
      <w:pPr>
        <w:jc w:val="center"/>
        <w:rPr>
          <w:rFonts w:asciiTheme="minorHAnsi" w:hAnsiTheme="minorHAnsi" w:cstheme="minorHAnsi"/>
          <w:b/>
          <w:sz w:val="22"/>
          <w:szCs w:val="22"/>
        </w:rPr>
      </w:pPr>
      <w:r w:rsidRPr="00F43974">
        <w:rPr>
          <w:rFonts w:asciiTheme="minorHAnsi" w:hAnsiTheme="minorHAnsi" w:cstheme="minorHAnsi"/>
          <w:b/>
          <w:sz w:val="22"/>
          <w:szCs w:val="22"/>
        </w:rPr>
        <w:t>Table</w:t>
      </w:r>
      <w:r w:rsidR="006A3EBF" w:rsidRPr="00F43974">
        <w:rPr>
          <w:rFonts w:asciiTheme="minorHAnsi" w:hAnsiTheme="minorHAnsi" w:cstheme="minorHAnsi"/>
          <w:b/>
          <w:sz w:val="22"/>
          <w:szCs w:val="22"/>
        </w:rPr>
        <w:t xml:space="preserve"> 1</w:t>
      </w:r>
      <w:r w:rsidR="00F43974" w:rsidRPr="00F43974">
        <w:rPr>
          <w:rFonts w:asciiTheme="minorHAnsi" w:hAnsiTheme="minorHAnsi" w:cstheme="minorHAnsi"/>
          <w:b/>
          <w:sz w:val="22"/>
          <w:szCs w:val="22"/>
        </w:rPr>
        <w:t xml:space="preserve">: Levels of Credit Growth, the Current Account, and the Implied Probability of a Crisis in some </w:t>
      </w:r>
      <w:proofErr w:type="gramStart"/>
      <w:r w:rsidR="00F43974" w:rsidRPr="00F43974">
        <w:rPr>
          <w:rFonts w:asciiTheme="minorHAnsi" w:hAnsiTheme="minorHAnsi" w:cstheme="minorHAnsi"/>
          <w:b/>
          <w:sz w:val="22"/>
          <w:szCs w:val="22"/>
        </w:rPr>
        <w:t>Past</w:t>
      </w:r>
      <w:proofErr w:type="gramEnd"/>
      <w:r w:rsidR="00F43974" w:rsidRPr="00F43974">
        <w:rPr>
          <w:rFonts w:asciiTheme="minorHAnsi" w:hAnsiTheme="minorHAnsi" w:cstheme="minorHAnsi"/>
          <w:b/>
          <w:sz w:val="22"/>
          <w:szCs w:val="22"/>
        </w:rPr>
        <w:t xml:space="preserve"> Episodes</w:t>
      </w:r>
    </w:p>
    <w:p w:rsidR="0093238B" w:rsidRPr="00F43974" w:rsidRDefault="0093238B" w:rsidP="00F43974">
      <w:pPr>
        <w:jc w:val="center"/>
        <w:rPr>
          <w:rFonts w:asciiTheme="minorHAnsi" w:hAnsiTheme="minorHAnsi" w:cstheme="minorHAnsi"/>
          <w:b/>
          <w:sz w:val="22"/>
          <w:szCs w:val="22"/>
        </w:rPr>
      </w:pPr>
    </w:p>
    <w:tbl>
      <w:tblPr>
        <w:tblW w:w="17317" w:type="dxa"/>
        <w:tblInd w:w="-15" w:type="dxa"/>
        <w:tblCellMar>
          <w:left w:w="0" w:type="dxa"/>
          <w:right w:w="0" w:type="dxa"/>
        </w:tblCellMar>
        <w:tblLook w:val="04A0" w:firstRow="1" w:lastRow="0" w:firstColumn="1" w:lastColumn="0" w:noHBand="0" w:noVBand="1"/>
      </w:tblPr>
      <w:tblGrid>
        <w:gridCol w:w="9154"/>
        <w:gridCol w:w="1889"/>
        <w:gridCol w:w="1320"/>
        <w:gridCol w:w="236"/>
        <w:gridCol w:w="1910"/>
        <w:gridCol w:w="592"/>
        <w:gridCol w:w="2216"/>
      </w:tblGrid>
      <w:tr w:rsidR="0093238B" w:rsidTr="005806EA">
        <w:trPr>
          <w:trHeight w:val="243"/>
        </w:trPr>
        <w:tc>
          <w:tcPr>
            <w:tcW w:w="9154" w:type="dxa"/>
            <w:noWrap/>
            <w:tcMar>
              <w:top w:w="0" w:type="dxa"/>
              <w:left w:w="108" w:type="dxa"/>
              <w:bottom w:w="0" w:type="dxa"/>
              <w:right w:w="108" w:type="dxa"/>
            </w:tcMar>
            <w:vAlign w:val="bottom"/>
          </w:tcPr>
          <w:tbl>
            <w:tblPr>
              <w:tblW w:w="8938" w:type="dxa"/>
              <w:tblLook w:val="04A0" w:firstRow="1" w:lastRow="0" w:firstColumn="1" w:lastColumn="0" w:noHBand="0" w:noVBand="1"/>
            </w:tblPr>
            <w:tblGrid>
              <w:gridCol w:w="370"/>
              <w:gridCol w:w="1523"/>
              <w:gridCol w:w="694"/>
              <w:gridCol w:w="1085"/>
              <w:gridCol w:w="1271"/>
              <w:gridCol w:w="1427"/>
              <w:gridCol w:w="1297"/>
              <w:gridCol w:w="1271"/>
            </w:tblGrid>
            <w:tr w:rsidR="005806EA" w:rsidRPr="005806EA" w:rsidTr="005806EA">
              <w:trPr>
                <w:trHeight w:val="540"/>
              </w:trPr>
              <w:tc>
                <w:tcPr>
                  <w:tcW w:w="1893" w:type="dxa"/>
                  <w:gridSpan w:val="2"/>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p>
              </w:tc>
              <w:tc>
                <w:tcPr>
                  <w:tcW w:w="1778" w:type="dxa"/>
                  <w:gridSpan w:val="2"/>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Credit</w:t>
                  </w:r>
                </w:p>
              </w:tc>
              <w:tc>
                <w:tcPr>
                  <w:tcW w:w="1271"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CA(-1)</w:t>
                  </w:r>
                </w:p>
              </w:tc>
              <w:tc>
                <w:tcPr>
                  <w:tcW w:w="1427"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p>
              </w:tc>
              <w:tc>
                <w:tcPr>
                  <w:tcW w:w="1297"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ME1</w:t>
                  </w:r>
                </w:p>
              </w:tc>
              <w:tc>
                <w:tcPr>
                  <w:tcW w:w="1271"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ME2</w:t>
                  </w:r>
                </w:p>
              </w:tc>
            </w:tr>
            <w:tr w:rsidR="005806EA" w:rsidRPr="005806EA" w:rsidTr="005806EA">
              <w:trPr>
                <w:trHeight w:val="360"/>
              </w:trPr>
              <w:tc>
                <w:tcPr>
                  <w:tcW w:w="370" w:type="dxa"/>
                  <w:tcBorders>
                    <w:top w:val="nil"/>
                    <w:left w:val="nil"/>
                    <w:bottom w:val="nil"/>
                    <w:right w:val="nil"/>
                  </w:tcBorders>
                  <w:shd w:val="clear" w:color="auto" w:fill="auto"/>
                  <w:noWrap/>
                  <w:vAlign w:val="bottom"/>
                </w:tcPr>
                <w:p w:rsidR="005806EA" w:rsidRPr="005806EA" w:rsidRDefault="005806EA" w:rsidP="005806EA">
                  <w:pPr>
                    <w:jc w:val="center"/>
                    <w:rPr>
                      <w:color w:val="000000"/>
                      <w:sz w:val="28"/>
                      <w:szCs w:val="28"/>
                    </w:rPr>
                  </w:pPr>
                </w:p>
              </w:tc>
              <w:tc>
                <w:tcPr>
                  <w:tcW w:w="3302" w:type="dxa"/>
                  <w:gridSpan w:val="3"/>
                  <w:tcBorders>
                    <w:top w:val="nil"/>
                    <w:left w:val="nil"/>
                    <w:bottom w:val="nil"/>
                    <w:right w:val="nil"/>
                  </w:tcBorders>
                  <w:shd w:val="clear" w:color="auto" w:fill="auto"/>
                  <w:noWrap/>
                  <w:vAlign w:val="bottom"/>
                </w:tcPr>
                <w:p w:rsidR="005806EA" w:rsidRPr="005806EA" w:rsidRDefault="005806EA" w:rsidP="005806EA">
                  <w:pPr>
                    <w:jc w:val="center"/>
                    <w:rPr>
                      <w:color w:val="000000"/>
                      <w:sz w:val="28"/>
                      <w:szCs w:val="28"/>
                    </w:rPr>
                  </w:pPr>
                </w:p>
              </w:tc>
              <w:tc>
                <w:tcPr>
                  <w:tcW w:w="1271" w:type="dxa"/>
                  <w:tcBorders>
                    <w:top w:val="nil"/>
                    <w:left w:val="nil"/>
                    <w:bottom w:val="nil"/>
                    <w:right w:val="nil"/>
                  </w:tcBorders>
                  <w:shd w:val="clear" w:color="auto" w:fill="auto"/>
                  <w:noWrap/>
                  <w:vAlign w:val="bottom"/>
                </w:tcPr>
                <w:p w:rsidR="005806EA" w:rsidRPr="005806EA" w:rsidRDefault="005806EA" w:rsidP="005806EA">
                  <w:pPr>
                    <w:jc w:val="center"/>
                    <w:rPr>
                      <w:color w:val="000000"/>
                      <w:sz w:val="28"/>
                      <w:szCs w:val="28"/>
                    </w:rPr>
                  </w:pPr>
                </w:p>
              </w:tc>
              <w:tc>
                <w:tcPr>
                  <w:tcW w:w="1427" w:type="dxa"/>
                  <w:tcBorders>
                    <w:top w:val="nil"/>
                    <w:left w:val="nil"/>
                    <w:bottom w:val="nil"/>
                    <w:right w:val="nil"/>
                  </w:tcBorders>
                  <w:shd w:val="clear" w:color="auto" w:fill="auto"/>
                  <w:noWrap/>
                  <w:vAlign w:val="bottom"/>
                </w:tcPr>
                <w:p w:rsidR="005806EA" w:rsidRPr="005806EA" w:rsidRDefault="005806EA" w:rsidP="005806EA">
                  <w:pPr>
                    <w:jc w:val="center"/>
                    <w:rPr>
                      <w:color w:val="000000"/>
                      <w:sz w:val="28"/>
                      <w:szCs w:val="28"/>
                    </w:rPr>
                  </w:pPr>
                </w:p>
              </w:tc>
              <w:tc>
                <w:tcPr>
                  <w:tcW w:w="1297" w:type="dxa"/>
                  <w:tcBorders>
                    <w:top w:val="nil"/>
                    <w:left w:val="nil"/>
                    <w:bottom w:val="nil"/>
                    <w:right w:val="nil"/>
                  </w:tcBorders>
                  <w:shd w:val="clear" w:color="auto" w:fill="auto"/>
                  <w:noWrap/>
                  <w:vAlign w:val="bottom"/>
                </w:tcPr>
                <w:p w:rsidR="005806EA" w:rsidRPr="005806EA" w:rsidRDefault="005806EA" w:rsidP="005806EA">
                  <w:pPr>
                    <w:jc w:val="center"/>
                    <w:rPr>
                      <w:color w:val="000000"/>
                      <w:sz w:val="28"/>
                      <w:szCs w:val="28"/>
                    </w:rPr>
                  </w:pPr>
                </w:p>
              </w:tc>
              <w:tc>
                <w:tcPr>
                  <w:tcW w:w="1271" w:type="dxa"/>
                  <w:tcBorders>
                    <w:top w:val="nil"/>
                    <w:left w:val="nil"/>
                    <w:bottom w:val="nil"/>
                    <w:right w:val="nil"/>
                  </w:tcBorders>
                  <w:shd w:val="clear" w:color="auto" w:fill="auto"/>
                  <w:noWrap/>
                  <w:vAlign w:val="bottom"/>
                </w:tcPr>
                <w:p w:rsidR="005806EA" w:rsidRPr="005806EA" w:rsidRDefault="005806EA" w:rsidP="005806EA">
                  <w:pPr>
                    <w:jc w:val="center"/>
                    <w:rPr>
                      <w:color w:val="000000"/>
                      <w:sz w:val="28"/>
                      <w:szCs w:val="28"/>
                    </w:rPr>
                  </w:pPr>
                </w:p>
              </w:tc>
            </w:tr>
            <w:tr w:rsidR="005806EA" w:rsidRPr="005806EA" w:rsidTr="005806EA">
              <w:trPr>
                <w:trHeight w:val="360"/>
              </w:trPr>
              <w:tc>
                <w:tcPr>
                  <w:tcW w:w="2587" w:type="dxa"/>
                  <w:gridSpan w:val="3"/>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East Asia '98</w:t>
                  </w:r>
                </w:p>
              </w:tc>
              <w:tc>
                <w:tcPr>
                  <w:tcW w:w="1084"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26.7%</w:t>
                  </w:r>
                </w:p>
              </w:tc>
              <w:tc>
                <w:tcPr>
                  <w:tcW w:w="1271"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-1.8%</w:t>
                  </w:r>
                </w:p>
              </w:tc>
              <w:tc>
                <w:tcPr>
                  <w:tcW w:w="1427"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p>
              </w:tc>
              <w:tc>
                <w:tcPr>
                  <w:tcW w:w="1297"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0.133</w:t>
                  </w:r>
                </w:p>
              </w:tc>
              <w:tc>
                <w:tcPr>
                  <w:tcW w:w="1271"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0.165</w:t>
                  </w:r>
                </w:p>
              </w:tc>
            </w:tr>
            <w:tr w:rsidR="005806EA" w:rsidRPr="005806EA" w:rsidTr="005806EA">
              <w:trPr>
                <w:trHeight w:val="360"/>
              </w:trPr>
              <w:tc>
                <w:tcPr>
                  <w:tcW w:w="2587" w:type="dxa"/>
                  <w:gridSpan w:val="3"/>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Periphery '08</w:t>
                  </w:r>
                </w:p>
              </w:tc>
              <w:tc>
                <w:tcPr>
                  <w:tcW w:w="1084"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72.3%</w:t>
                  </w:r>
                </w:p>
              </w:tc>
              <w:tc>
                <w:tcPr>
                  <w:tcW w:w="1271"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-10.3%</w:t>
                  </w:r>
                </w:p>
              </w:tc>
              <w:tc>
                <w:tcPr>
                  <w:tcW w:w="1427"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p>
              </w:tc>
              <w:tc>
                <w:tcPr>
                  <w:tcW w:w="1297"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0.133</w:t>
                  </w:r>
                </w:p>
              </w:tc>
              <w:tc>
                <w:tcPr>
                  <w:tcW w:w="1271"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0.550</w:t>
                  </w:r>
                </w:p>
              </w:tc>
            </w:tr>
            <w:tr w:rsidR="005806EA" w:rsidRPr="005806EA" w:rsidTr="005806EA">
              <w:trPr>
                <w:trHeight w:val="360"/>
              </w:trPr>
              <w:tc>
                <w:tcPr>
                  <w:tcW w:w="2587" w:type="dxa"/>
                  <w:gridSpan w:val="3"/>
                  <w:tcBorders>
                    <w:top w:val="nil"/>
                    <w:left w:val="nil"/>
                    <w:bottom w:val="nil"/>
                    <w:right w:val="nil"/>
                  </w:tcBorders>
                  <w:shd w:val="clear" w:color="auto" w:fill="auto"/>
                  <w:noWrap/>
                  <w:vAlign w:val="bottom"/>
                </w:tcPr>
                <w:p w:rsidR="005806EA" w:rsidRPr="005806EA" w:rsidRDefault="005806EA" w:rsidP="005806EA">
                  <w:pPr>
                    <w:jc w:val="center"/>
                    <w:rPr>
                      <w:color w:val="000000"/>
                      <w:sz w:val="28"/>
                      <w:szCs w:val="28"/>
                    </w:rPr>
                  </w:pPr>
                  <w:r w:rsidRPr="005806EA">
                    <w:rPr>
                      <w:color w:val="000000"/>
                      <w:sz w:val="28"/>
                      <w:szCs w:val="28"/>
                    </w:rPr>
                    <w:t>US '08</w:t>
                  </w:r>
                </w:p>
              </w:tc>
              <w:tc>
                <w:tcPr>
                  <w:tcW w:w="1084"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29.8%</w:t>
                  </w:r>
                </w:p>
              </w:tc>
              <w:tc>
                <w:tcPr>
                  <w:tcW w:w="1271"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-4.9%</w:t>
                  </w:r>
                </w:p>
              </w:tc>
              <w:tc>
                <w:tcPr>
                  <w:tcW w:w="1427"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p>
              </w:tc>
              <w:tc>
                <w:tcPr>
                  <w:tcW w:w="1297"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0.133</w:t>
                  </w:r>
                </w:p>
              </w:tc>
              <w:tc>
                <w:tcPr>
                  <w:tcW w:w="1271"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0.307</w:t>
                  </w:r>
                </w:p>
              </w:tc>
            </w:tr>
            <w:tr w:rsidR="005806EA" w:rsidRPr="005806EA" w:rsidTr="005806EA">
              <w:trPr>
                <w:trHeight w:val="360"/>
              </w:trPr>
              <w:tc>
                <w:tcPr>
                  <w:tcW w:w="2587" w:type="dxa"/>
                  <w:gridSpan w:val="3"/>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UK '08</w:t>
                  </w:r>
                </w:p>
              </w:tc>
              <w:tc>
                <w:tcPr>
                  <w:tcW w:w="1084"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43.5%</w:t>
                  </w:r>
                </w:p>
              </w:tc>
              <w:tc>
                <w:tcPr>
                  <w:tcW w:w="1271"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-2.2%</w:t>
                  </w:r>
                </w:p>
              </w:tc>
              <w:tc>
                <w:tcPr>
                  <w:tcW w:w="1427"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p>
              </w:tc>
              <w:tc>
                <w:tcPr>
                  <w:tcW w:w="1297"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0.133</w:t>
                  </w:r>
                </w:p>
              </w:tc>
              <w:tc>
                <w:tcPr>
                  <w:tcW w:w="1271"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0.183</w:t>
                  </w:r>
                </w:p>
              </w:tc>
            </w:tr>
            <w:tr w:rsidR="005806EA" w:rsidRPr="005806EA" w:rsidTr="005806EA">
              <w:trPr>
                <w:trHeight w:val="360"/>
              </w:trPr>
              <w:tc>
                <w:tcPr>
                  <w:tcW w:w="2587" w:type="dxa"/>
                  <w:gridSpan w:val="3"/>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CN '13</w:t>
                  </w:r>
                </w:p>
              </w:tc>
              <w:tc>
                <w:tcPr>
                  <w:tcW w:w="1084"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35.3%</w:t>
                  </w:r>
                </w:p>
              </w:tc>
              <w:tc>
                <w:tcPr>
                  <w:tcW w:w="1271"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2.3%</w:t>
                  </w:r>
                </w:p>
              </w:tc>
              <w:tc>
                <w:tcPr>
                  <w:tcW w:w="1427"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p>
              </w:tc>
              <w:tc>
                <w:tcPr>
                  <w:tcW w:w="1297"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0.133</w:t>
                  </w:r>
                </w:p>
              </w:tc>
              <w:tc>
                <w:tcPr>
                  <w:tcW w:w="1271" w:type="dxa"/>
                  <w:tcBorders>
                    <w:top w:val="nil"/>
                    <w:left w:val="nil"/>
                    <w:bottom w:val="nil"/>
                    <w:right w:val="nil"/>
                  </w:tcBorders>
                  <w:shd w:val="clear" w:color="auto" w:fill="auto"/>
                  <w:noWrap/>
                  <w:vAlign w:val="bottom"/>
                  <w:hideMark/>
                </w:tcPr>
                <w:p w:rsidR="005806EA" w:rsidRPr="005806EA" w:rsidRDefault="005806EA" w:rsidP="005806EA">
                  <w:pPr>
                    <w:jc w:val="center"/>
                    <w:rPr>
                      <w:color w:val="000000"/>
                      <w:sz w:val="28"/>
                      <w:szCs w:val="28"/>
                    </w:rPr>
                  </w:pPr>
                  <w:r w:rsidRPr="005806EA">
                    <w:rPr>
                      <w:color w:val="000000"/>
                      <w:sz w:val="28"/>
                      <w:szCs w:val="28"/>
                    </w:rPr>
                    <w:t>0.067</w:t>
                  </w:r>
                </w:p>
              </w:tc>
            </w:tr>
            <w:tr w:rsidR="005806EA" w:rsidRPr="005806EA" w:rsidTr="005806EA">
              <w:trPr>
                <w:trHeight w:val="360"/>
              </w:trPr>
              <w:tc>
                <w:tcPr>
                  <w:tcW w:w="1893" w:type="dxa"/>
                  <w:gridSpan w:val="2"/>
                  <w:tcBorders>
                    <w:top w:val="nil"/>
                    <w:left w:val="nil"/>
                    <w:bottom w:val="nil"/>
                    <w:right w:val="nil"/>
                  </w:tcBorders>
                  <w:shd w:val="clear" w:color="auto" w:fill="auto"/>
                  <w:noWrap/>
                  <w:vAlign w:val="bottom"/>
                </w:tcPr>
                <w:p w:rsidR="005806EA" w:rsidRPr="005806EA" w:rsidRDefault="005806EA" w:rsidP="005806EA">
                  <w:pPr>
                    <w:rPr>
                      <w:rFonts w:ascii="Calibri" w:hAnsi="Calibri"/>
                      <w:color w:val="000000"/>
                      <w:sz w:val="22"/>
                      <w:szCs w:val="22"/>
                    </w:rPr>
                  </w:pPr>
                </w:p>
              </w:tc>
              <w:tc>
                <w:tcPr>
                  <w:tcW w:w="1778" w:type="dxa"/>
                  <w:gridSpan w:val="2"/>
                  <w:tcBorders>
                    <w:top w:val="nil"/>
                    <w:left w:val="nil"/>
                    <w:bottom w:val="nil"/>
                    <w:right w:val="nil"/>
                  </w:tcBorders>
                  <w:shd w:val="clear" w:color="auto" w:fill="auto"/>
                  <w:noWrap/>
                  <w:vAlign w:val="bottom"/>
                </w:tcPr>
                <w:p w:rsidR="005806EA" w:rsidRPr="005806EA" w:rsidRDefault="005806EA" w:rsidP="005806EA">
                  <w:pPr>
                    <w:jc w:val="right"/>
                    <w:rPr>
                      <w:rFonts w:ascii="Calibri" w:hAnsi="Calibri"/>
                      <w:color w:val="000000"/>
                      <w:sz w:val="22"/>
                      <w:szCs w:val="22"/>
                    </w:rPr>
                  </w:pPr>
                </w:p>
              </w:tc>
              <w:tc>
                <w:tcPr>
                  <w:tcW w:w="1271" w:type="dxa"/>
                  <w:tcBorders>
                    <w:top w:val="nil"/>
                    <w:left w:val="nil"/>
                    <w:bottom w:val="nil"/>
                    <w:right w:val="nil"/>
                  </w:tcBorders>
                  <w:shd w:val="clear" w:color="auto" w:fill="auto"/>
                  <w:noWrap/>
                  <w:vAlign w:val="bottom"/>
                </w:tcPr>
                <w:p w:rsidR="005806EA" w:rsidRPr="005806EA" w:rsidRDefault="005806EA" w:rsidP="005806EA">
                  <w:pPr>
                    <w:jc w:val="right"/>
                    <w:rPr>
                      <w:rFonts w:ascii="Calibri" w:hAnsi="Calibri"/>
                      <w:color w:val="000000"/>
                      <w:sz w:val="22"/>
                      <w:szCs w:val="22"/>
                    </w:rPr>
                  </w:pPr>
                </w:p>
              </w:tc>
              <w:tc>
                <w:tcPr>
                  <w:tcW w:w="1427" w:type="dxa"/>
                  <w:tcBorders>
                    <w:top w:val="nil"/>
                    <w:left w:val="nil"/>
                    <w:bottom w:val="nil"/>
                    <w:right w:val="nil"/>
                  </w:tcBorders>
                  <w:shd w:val="clear" w:color="auto" w:fill="auto"/>
                  <w:noWrap/>
                  <w:vAlign w:val="bottom"/>
                </w:tcPr>
                <w:p w:rsidR="005806EA" w:rsidRPr="005806EA" w:rsidRDefault="005806EA" w:rsidP="005806EA">
                  <w:pPr>
                    <w:rPr>
                      <w:rFonts w:ascii="Calibri" w:hAnsi="Calibri"/>
                      <w:color w:val="000000"/>
                      <w:sz w:val="22"/>
                      <w:szCs w:val="22"/>
                    </w:rPr>
                  </w:pPr>
                </w:p>
              </w:tc>
              <w:tc>
                <w:tcPr>
                  <w:tcW w:w="1297" w:type="dxa"/>
                  <w:tcBorders>
                    <w:top w:val="nil"/>
                    <w:left w:val="nil"/>
                    <w:bottom w:val="nil"/>
                    <w:right w:val="nil"/>
                  </w:tcBorders>
                  <w:shd w:val="clear" w:color="auto" w:fill="auto"/>
                  <w:noWrap/>
                  <w:vAlign w:val="bottom"/>
                </w:tcPr>
                <w:p w:rsidR="005806EA" w:rsidRPr="005806EA" w:rsidRDefault="005806EA" w:rsidP="005806EA">
                  <w:pPr>
                    <w:jc w:val="right"/>
                    <w:rPr>
                      <w:rFonts w:ascii="Calibri" w:hAnsi="Calibri"/>
                      <w:color w:val="000000"/>
                      <w:sz w:val="22"/>
                      <w:szCs w:val="22"/>
                    </w:rPr>
                  </w:pPr>
                </w:p>
              </w:tc>
              <w:tc>
                <w:tcPr>
                  <w:tcW w:w="1271" w:type="dxa"/>
                  <w:tcBorders>
                    <w:top w:val="nil"/>
                    <w:left w:val="nil"/>
                    <w:bottom w:val="nil"/>
                    <w:right w:val="nil"/>
                  </w:tcBorders>
                  <w:shd w:val="clear" w:color="auto" w:fill="auto"/>
                  <w:noWrap/>
                  <w:vAlign w:val="bottom"/>
                </w:tcPr>
                <w:p w:rsidR="005806EA" w:rsidRPr="005806EA" w:rsidRDefault="005806EA" w:rsidP="005806EA">
                  <w:pPr>
                    <w:jc w:val="right"/>
                    <w:rPr>
                      <w:rFonts w:ascii="Calibri" w:hAnsi="Calibri"/>
                      <w:color w:val="000000"/>
                      <w:sz w:val="22"/>
                      <w:szCs w:val="22"/>
                    </w:rPr>
                  </w:pPr>
                </w:p>
              </w:tc>
            </w:tr>
          </w:tbl>
          <w:p w:rsidR="00F43974" w:rsidRDefault="00F43974">
            <w:pPr>
              <w:rPr>
                <w:sz w:val="20"/>
                <w:szCs w:val="20"/>
              </w:rPr>
            </w:pPr>
          </w:p>
        </w:tc>
        <w:tc>
          <w:tcPr>
            <w:tcW w:w="1889" w:type="dxa"/>
            <w:noWrap/>
            <w:tcMar>
              <w:top w:w="0" w:type="dxa"/>
              <w:left w:w="108" w:type="dxa"/>
              <w:bottom w:w="0" w:type="dxa"/>
              <w:right w:w="108" w:type="dxa"/>
            </w:tcMar>
            <w:vAlign w:val="bottom"/>
          </w:tcPr>
          <w:p w:rsidR="00F43974" w:rsidRDefault="00F43974">
            <w:pPr>
              <w:rPr>
                <w:sz w:val="20"/>
                <w:szCs w:val="20"/>
              </w:rPr>
            </w:pPr>
          </w:p>
        </w:tc>
        <w:tc>
          <w:tcPr>
            <w:tcW w:w="1320" w:type="dxa"/>
            <w:noWrap/>
            <w:tcMar>
              <w:top w:w="0" w:type="dxa"/>
              <w:left w:w="108" w:type="dxa"/>
              <w:bottom w:w="0" w:type="dxa"/>
              <w:right w:w="108" w:type="dxa"/>
            </w:tcMar>
            <w:vAlign w:val="bottom"/>
          </w:tcPr>
          <w:p w:rsidR="00F43974" w:rsidRDefault="00F43974">
            <w:pPr>
              <w:rPr>
                <w:sz w:val="20"/>
                <w:szCs w:val="20"/>
              </w:rPr>
            </w:pPr>
          </w:p>
        </w:tc>
        <w:tc>
          <w:tcPr>
            <w:tcW w:w="236" w:type="dxa"/>
            <w:noWrap/>
            <w:tcMar>
              <w:top w:w="0" w:type="dxa"/>
              <w:left w:w="108" w:type="dxa"/>
              <w:bottom w:w="0" w:type="dxa"/>
              <w:right w:w="108" w:type="dxa"/>
            </w:tcMar>
            <w:vAlign w:val="bottom"/>
          </w:tcPr>
          <w:p w:rsidR="00F43974" w:rsidRDefault="00F43974">
            <w:pPr>
              <w:rPr>
                <w:sz w:val="20"/>
                <w:szCs w:val="20"/>
              </w:rPr>
            </w:pPr>
          </w:p>
        </w:tc>
        <w:tc>
          <w:tcPr>
            <w:tcW w:w="1910" w:type="dxa"/>
            <w:noWrap/>
            <w:tcMar>
              <w:top w:w="0" w:type="dxa"/>
              <w:left w:w="108" w:type="dxa"/>
              <w:bottom w:w="0" w:type="dxa"/>
              <w:right w:w="108" w:type="dxa"/>
            </w:tcMar>
          </w:tcPr>
          <w:p w:rsidR="00F43974" w:rsidRDefault="00F43974" w:rsidP="0093238B">
            <w:pPr>
              <w:jc w:val="center"/>
              <w:rPr>
                <w:rFonts w:ascii="Calibri" w:eastAsiaTheme="minorHAnsi" w:hAnsi="Calibri" w:cs="Calibri"/>
                <w:color w:val="000000"/>
                <w:sz w:val="22"/>
                <w:szCs w:val="22"/>
              </w:rPr>
            </w:pPr>
          </w:p>
        </w:tc>
        <w:tc>
          <w:tcPr>
            <w:tcW w:w="592" w:type="dxa"/>
            <w:noWrap/>
            <w:tcMar>
              <w:top w:w="0" w:type="dxa"/>
              <w:left w:w="108" w:type="dxa"/>
              <w:bottom w:w="0" w:type="dxa"/>
              <w:right w:w="108" w:type="dxa"/>
            </w:tcMar>
            <w:vAlign w:val="bottom"/>
          </w:tcPr>
          <w:p w:rsidR="00F43974" w:rsidRDefault="00F43974">
            <w:pPr>
              <w:rPr>
                <w:sz w:val="20"/>
                <w:szCs w:val="20"/>
              </w:rPr>
            </w:pPr>
          </w:p>
        </w:tc>
        <w:tc>
          <w:tcPr>
            <w:tcW w:w="2216" w:type="dxa"/>
            <w:noWrap/>
            <w:tcMar>
              <w:top w:w="0" w:type="dxa"/>
              <w:left w:w="108" w:type="dxa"/>
              <w:bottom w:w="0" w:type="dxa"/>
              <w:right w:w="108" w:type="dxa"/>
            </w:tcMar>
          </w:tcPr>
          <w:p w:rsidR="00F43974" w:rsidRDefault="00F43974" w:rsidP="0093238B">
            <w:pPr>
              <w:jc w:val="center"/>
              <w:rPr>
                <w:rFonts w:ascii="Calibri" w:eastAsiaTheme="minorHAnsi" w:hAnsi="Calibri" w:cs="Calibri"/>
                <w:color w:val="000000"/>
                <w:sz w:val="22"/>
                <w:szCs w:val="22"/>
              </w:rPr>
            </w:pPr>
          </w:p>
        </w:tc>
      </w:tr>
    </w:tbl>
    <w:p w:rsidR="006B67B9" w:rsidRDefault="006B67B9" w:rsidP="00E22F78">
      <w:pPr>
        <w:jc w:val="both"/>
        <w:rPr>
          <w:rFonts w:asciiTheme="minorHAnsi" w:hAnsiTheme="minorHAnsi" w:cstheme="minorHAnsi"/>
          <w:sz w:val="22"/>
          <w:szCs w:val="22"/>
        </w:rPr>
      </w:pPr>
    </w:p>
    <w:p w:rsidR="00E22F78" w:rsidRDefault="00E22F78" w:rsidP="00E22F78">
      <w:pPr>
        <w:jc w:val="both"/>
        <w:rPr>
          <w:rFonts w:asciiTheme="minorHAnsi" w:hAnsiTheme="minorHAnsi" w:cstheme="minorHAnsi"/>
          <w:sz w:val="22"/>
          <w:szCs w:val="22"/>
        </w:rPr>
      </w:pPr>
    </w:p>
    <w:p w:rsidR="00E22F78" w:rsidRPr="00AD2F98" w:rsidRDefault="00E22F78" w:rsidP="00AD2F98">
      <w:pPr>
        <w:jc w:val="both"/>
        <w:rPr>
          <w:rFonts w:asciiTheme="minorHAnsi" w:hAnsiTheme="minorHAnsi" w:cstheme="minorHAnsi"/>
          <w:i/>
          <w:sz w:val="22"/>
          <w:szCs w:val="22"/>
        </w:rPr>
      </w:pPr>
      <w:r w:rsidRPr="00AD2F98">
        <w:rPr>
          <w:rFonts w:asciiTheme="minorHAnsi" w:hAnsiTheme="minorHAnsi" w:cstheme="minorHAnsi"/>
          <w:i/>
          <w:sz w:val="22"/>
          <w:szCs w:val="22"/>
        </w:rPr>
        <w:t>China, some concluding thoughts</w:t>
      </w:r>
    </w:p>
    <w:p w:rsidR="00E22F78" w:rsidRDefault="00E22F78" w:rsidP="00E22F78">
      <w:pPr>
        <w:jc w:val="both"/>
        <w:rPr>
          <w:rFonts w:asciiTheme="minorHAnsi" w:hAnsiTheme="minorHAnsi" w:cstheme="minorHAnsi"/>
          <w:sz w:val="22"/>
          <w:szCs w:val="22"/>
        </w:rPr>
      </w:pPr>
    </w:p>
    <w:p w:rsidR="00BA6958" w:rsidRDefault="00E9245E" w:rsidP="00307469">
      <w:pPr>
        <w:ind w:firstLine="720"/>
        <w:jc w:val="both"/>
        <w:rPr>
          <w:rFonts w:asciiTheme="minorHAnsi" w:hAnsiTheme="minorHAnsi" w:cstheme="minorHAnsi"/>
          <w:sz w:val="22"/>
          <w:szCs w:val="22"/>
        </w:rPr>
      </w:pPr>
      <w:r>
        <w:rPr>
          <w:rFonts w:asciiTheme="minorHAnsi" w:hAnsiTheme="minorHAnsi" w:cstheme="minorHAnsi"/>
          <w:sz w:val="22"/>
          <w:szCs w:val="22"/>
        </w:rPr>
        <w:t>These results suggest that excess credit growth and the extent to which it is financed abroad vs. domestically has an important effect on the probability that a country will face a banking crisis.</w:t>
      </w:r>
      <w:r w:rsidR="00BA6958">
        <w:rPr>
          <w:rFonts w:asciiTheme="minorHAnsi" w:hAnsiTheme="minorHAnsi" w:cstheme="minorHAnsi"/>
          <w:sz w:val="22"/>
          <w:szCs w:val="22"/>
        </w:rPr>
        <w:t xml:space="preserve"> Unlike the countries in many previous crisis episodes, China is currently running a current account surplus. The estimated model predicts that the effect of credit growth on the likelihood of a crisis should depend on whether that credit growth is financed at home or abroad. The fact that China is running a current account surplus says that this credit boom in China is still financed domestically. The marginal effects estimates show that each additional percentage point of credit growth in China should raise the likelihood of a banking crisis by about 0.16 percentage points. This is not insignificant, but due to its current account surplus, the Chinese credit boom is less dangerous than famous credit booms in the past.</w:t>
      </w:r>
    </w:p>
    <w:p w:rsidR="00E9245E" w:rsidRDefault="00E9245E" w:rsidP="007223A6">
      <w:pPr>
        <w:jc w:val="both"/>
        <w:rPr>
          <w:rFonts w:asciiTheme="minorHAnsi" w:hAnsiTheme="minorHAnsi" w:cstheme="minorHAnsi"/>
          <w:sz w:val="22"/>
          <w:szCs w:val="22"/>
        </w:rPr>
      </w:pPr>
    </w:p>
    <w:p w:rsidR="00152D1B" w:rsidRDefault="00630F29" w:rsidP="00307469">
      <w:pPr>
        <w:ind w:firstLine="720"/>
        <w:jc w:val="both"/>
        <w:rPr>
          <w:rFonts w:asciiTheme="minorHAnsi" w:hAnsiTheme="minorHAnsi" w:cstheme="minorHAnsi"/>
          <w:sz w:val="22"/>
          <w:szCs w:val="22"/>
        </w:rPr>
      </w:pPr>
      <w:r>
        <w:rPr>
          <w:rFonts w:asciiTheme="minorHAnsi" w:hAnsiTheme="minorHAnsi" w:cstheme="minorHAnsi"/>
          <w:sz w:val="22"/>
          <w:szCs w:val="22"/>
        </w:rPr>
        <w:t xml:space="preserve">However, the probability of banking crisis </w:t>
      </w:r>
      <w:r w:rsidRPr="00630F29">
        <w:rPr>
          <w:rFonts w:asciiTheme="minorHAnsi" w:hAnsiTheme="minorHAnsi" w:cstheme="minorHAnsi"/>
          <w:sz w:val="22"/>
          <w:szCs w:val="22"/>
        </w:rPr>
        <w:t>is rising significantly due to the recent acceler</w:t>
      </w:r>
      <w:r>
        <w:rPr>
          <w:rFonts w:asciiTheme="minorHAnsi" w:hAnsiTheme="minorHAnsi" w:cstheme="minorHAnsi"/>
          <w:sz w:val="22"/>
          <w:szCs w:val="22"/>
        </w:rPr>
        <w:t>atio</w:t>
      </w:r>
      <w:r w:rsidR="00152D1B">
        <w:rPr>
          <w:rFonts w:asciiTheme="minorHAnsi" w:hAnsiTheme="minorHAnsi" w:cstheme="minorHAnsi"/>
          <w:sz w:val="22"/>
          <w:szCs w:val="22"/>
        </w:rPr>
        <w:t xml:space="preserve">n in excess leverage growth and deterioration in China’s current account surplus. </w:t>
      </w:r>
      <w:r w:rsidR="00D257BA">
        <w:rPr>
          <w:rFonts w:asciiTheme="minorHAnsi" w:hAnsiTheme="minorHAnsi" w:cstheme="minorHAnsi"/>
          <w:sz w:val="22"/>
          <w:szCs w:val="22"/>
        </w:rPr>
        <w:t xml:space="preserve">The Chinese current account surplus </w:t>
      </w:r>
      <w:r w:rsidR="00C31901">
        <w:rPr>
          <w:rFonts w:asciiTheme="minorHAnsi" w:hAnsiTheme="minorHAnsi" w:cstheme="minorHAnsi"/>
          <w:sz w:val="22"/>
          <w:szCs w:val="22"/>
        </w:rPr>
        <w:t>has fallen steadily from its peak of 10% of GDP in 2007</w:t>
      </w:r>
      <w:r w:rsidR="00D257BA">
        <w:rPr>
          <w:rFonts w:asciiTheme="minorHAnsi" w:hAnsiTheme="minorHAnsi" w:cstheme="minorHAnsi"/>
          <w:sz w:val="22"/>
          <w:szCs w:val="22"/>
        </w:rPr>
        <w:t xml:space="preserve">. At the current trend, it won’t be long until this turns into a deficit. It will be at that point the effect of this credit boom on the probability of a banking crisis will increase significantly. </w:t>
      </w:r>
      <w:r w:rsidR="00C31901">
        <w:rPr>
          <w:rFonts w:asciiTheme="minorHAnsi" w:hAnsiTheme="minorHAnsi" w:cstheme="minorHAnsi"/>
          <w:sz w:val="22"/>
          <w:szCs w:val="22"/>
        </w:rPr>
        <w:t>This</w:t>
      </w:r>
      <w:r w:rsidR="00D257BA">
        <w:rPr>
          <w:rFonts w:asciiTheme="minorHAnsi" w:hAnsiTheme="minorHAnsi" w:cstheme="minorHAnsi"/>
          <w:sz w:val="22"/>
          <w:szCs w:val="22"/>
        </w:rPr>
        <w:t xml:space="preserve"> suggests that while a banking crisis may not be imminent,</w:t>
      </w:r>
      <w:r w:rsidR="00152D1B">
        <w:rPr>
          <w:rFonts w:asciiTheme="minorHAnsi" w:hAnsiTheme="minorHAnsi" w:cstheme="minorHAnsi"/>
          <w:sz w:val="22"/>
          <w:szCs w:val="22"/>
        </w:rPr>
        <w:t xml:space="preserve"> the risk of financial instability </w:t>
      </w:r>
      <w:r w:rsidR="00D257BA">
        <w:rPr>
          <w:rFonts w:asciiTheme="minorHAnsi" w:hAnsiTheme="minorHAnsi" w:cstheme="minorHAnsi"/>
          <w:sz w:val="22"/>
          <w:szCs w:val="22"/>
        </w:rPr>
        <w:t>in China is rising significantly</w:t>
      </w:r>
      <w:r w:rsidR="00152D1B">
        <w:rPr>
          <w:rFonts w:asciiTheme="minorHAnsi" w:hAnsiTheme="minorHAnsi" w:cstheme="minorHAnsi"/>
          <w:sz w:val="22"/>
          <w:szCs w:val="22"/>
        </w:rPr>
        <w:t>.</w:t>
      </w:r>
    </w:p>
    <w:p w:rsidR="00E404C4" w:rsidRDefault="00E404C4" w:rsidP="00E404C4">
      <w:pPr>
        <w:jc w:val="center"/>
        <w:rPr>
          <w:rFonts w:asciiTheme="minorHAnsi" w:hAnsiTheme="minorHAnsi" w:cstheme="minorHAnsi"/>
          <w:sz w:val="22"/>
          <w:szCs w:val="22"/>
        </w:rPr>
      </w:pPr>
    </w:p>
    <w:sectPr w:rsidR="00E404C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47B" w:rsidRDefault="0066447B" w:rsidP="00990FEB">
      <w:r>
        <w:separator/>
      </w:r>
    </w:p>
  </w:endnote>
  <w:endnote w:type="continuationSeparator" w:id="0">
    <w:p w:rsidR="0066447B" w:rsidRDefault="0066447B" w:rsidP="0099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47B" w:rsidRDefault="0066447B" w:rsidP="00990FEB">
      <w:r>
        <w:separator/>
      </w:r>
    </w:p>
  </w:footnote>
  <w:footnote w:type="continuationSeparator" w:id="0">
    <w:p w:rsidR="0066447B" w:rsidRDefault="0066447B" w:rsidP="00990FEB">
      <w:r>
        <w:continuationSeparator/>
      </w:r>
    </w:p>
  </w:footnote>
  <w:footnote w:id="1">
    <w:p w:rsidR="00375072" w:rsidRPr="00C82D3D" w:rsidRDefault="00375072" w:rsidP="00375072">
      <w:pPr>
        <w:pStyle w:val="FootnoteText"/>
        <w:rPr>
          <w:rFonts w:asciiTheme="minorHAnsi" w:hAnsiTheme="minorHAnsi" w:cstheme="minorHAnsi"/>
          <w:sz w:val="18"/>
          <w:szCs w:val="18"/>
        </w:rPr>
      </w:pPr>
      <w:r w:rsidRPr="00C82D3D">
        <w:rPr>
          <w:rStyle w:val="FootnoteReference"/>
          <w:rFonts w:asciiTheme="minorHAnsi" w:hAnsiTheme="minorHAnsi" w:cstheme="minorHAnsi"/>
          <w:sz w:val="18"/>
          <w:szCs w:val="18"/>
        </w:rPr>
        <w:footnoteRef/>
      </w:r>
      <w:r w:rsidRPr="00C82D3D">
        <w:rPr>
          <w:rFonts w:asciiTheme="minorHAnsi" w:hAnsiTheme="minorHAnsi" w:cstheme="minorHAnsi"/>
          <w:sz w:val="18"/>
          <w:szCs w:val="18"/>
        </w:rPr>
        <w:t xml:space="preserve"> We estimate a panel data regression where we </w:t>
      </w:r>
      <w:proofErr w:type="gramStart"/>
      <w:r w:rsidRPr="00C82D3D">
        <w:rPr>
          <w:rFonts w:asciiTheme="minorHAnsi" w:hAnsiTheme="minorHAnsi" w:cstheme="minorHAnsi"/>
          <w:sz w:val="18"/>
          <w:szCs w:val="18"/>
        </w:rPr>
        <w:t>regress</w:t>
      </w:r>
      <w:proofErr w:type="gramEnd"/>
      <w:r w:rsidRPr="00C82D3D">
        <w:rPr>
          <w:rFonts w:asciiTheme="minorHAnsi" w:hAnsiTheme="minorHAnsi" w:cstheme="minorHAnsi"/>
          <w:sz w:val="18"/>
          <w:szCs w:val="18"/>
        </w:rPr>
        <w:t xml:space="preserve"> the ratio of private nonfinancial sector credit to GDP on per capita GDP. We include country fixed effects in the regression, and estimate it using quarterly data from 1970Q1 to 2012Q4 for the U.S., the UK, Austria, Belgium, Denmark, France, Germany, Italy, the Netherlands, Norway, Sweden, Switzerland, Canada,  Japan, Finland, Greece, Ireland, Portugal, Spain, Turkey, Australia, South Africa, Argentina, Brazil, Mexico, Saudi Arabia, Hong Kong, India, Indonesia, South Korea, Malaysia, Singapore, Thailand Russia, China, the Czech Republic, Hungary, and Poland.</w:t>
      </w:r>
    </w:p>
  </w:footnote>
  <w:footnote w:id="2">
    <w:p w:rsidR="00990FEB" w:rsidRPr="00C82D3D" w:rsidRDefault="00990FEB" w:rsidP="00990FEB">
      <w:pPr>
        <w:pStyle w:val="FootnoteText"/>
        <w:rPr>
          <w:rFonts w:asciiTheme="minorHAnsi" w:hAnsiTheme="minorHAnsi" w:cstheme="minorHAnsi"/>
          <w:sz w:val="18"/>
          <w:szCs w:val="18"/>
        </w:rPr>
      </w:pPr>
      <w:r w:rsidRPr="00C82D3D">
        <w:rPr>
          <w:rStyle w:val="FootnoteReference"/>
          <w:rFonts w:asciiTheme="minorHAnsi" w:hAnsiTheme="minorHAnsi" w:cstheme="minorHAnsi"/>
          <w:sz w:val="18"/>
          <w:szCs w:val="18"/>
        </w:rPr>
        <w:footnoteRef/>
      </w:r>
      <w:r w:rsidRPr="00C82D3D">
        <w:rPr>
          <w:rFonts w:asciiTheme="minorHAnsi" w:hAnsiTheme="minorHAnsi" w:cstheme="minorHAnsi"/>
          <w:sz w:val="18"/>
          <w:szCs w:val="18"/>
        </w:rPr>
        <w:t xml:space="preserve"> East Asia refers to a PPP GDP weighted average of Indonesia, Malaysia, South Korea,</w:t>
      </w:r>
      <w:r w:rsidR="005A2ED3">
        <w:rPr>
          <w:rFonts w:asciiTheme="minorHAnsi" w:hAnsiTheme="minorHAnsi" w:cstheme="minorHAnsi"/>
          <w:sz w:val="18"/>
          <w:szCs w:val="18"/>
        </w:rPr>
        <w:t xml:space="preserve"> Singapore</w:t>
      </w:r>
      <w:r w:rsidRPr="00C82D3D">
        <w:rPr>
          <w:rFonts w:asciiTheme="minorHAnsi" w:hAnsiTheme="minorHAnsi" w:cstheme="minorHAnsi"/>
          <w:sz w:val="18"/>
          <w:szCs w:val="18"/>
        </w:rPr>
        <w:t xml:space="preserve"> and Thailand</w:t>
      </w:r>
      <w:r w:rsidR="00DF0880" w:rsidRPr="00C82D3D">
        <w:rPr>
          <w:rFonts w:asciiTheme="minorHAnsi" w:hAnsiTheme="minorHAnsi" w:cstheme="minorHAnsi"/>
          <w:sz w:val="18"/>
          <w:szCs w:val="18"/>
        </w:rPr>
        <w:t>; the Euro Area Core includes Germany, France, Belgium, the Netherlands, Finland, and Austria; the Euro Area Periphery includes Portugal, Ireland, Italy, Greece, and Spain.</w:t>
      </w:r>
    </w:p>
  </w:footnote>
  <w:footnote w:id="3">
    <w:p w:rsidR="009C5A9C" w:rsidRDefault="009C5A9C" w:rsidP="009C5A9C">
      <w:pPr>
        <w:autoSpaceDE w:val="0"/>
        <w:autoSpaceDN w:val="0"/>
        <w:adjustRightInd w:val="0"/>
      </w:pPr>
      <w:r>
        <w:rPr>
          <w:rStyle w:val="FootnoteReference"/>
        </w:rPr>
        <w:footnoteRef/>
      </w:r>
      <w:r>
        <w:t xml:space="preserve"> </w:t>
      </w:r>
      <w:r w:rsidRPr="009C5A9C">
        <w:rPr>
          <w:rFonts w:asciiTheme="minorHAnsi" w:hAnsiTheme="minorHAnsi" w:cstheme="minorHAnsi"/>
          <w:sz w:val="18"/>
          <w:szCs w:val="18"/>
        </w:rPr>
        <w:t xml:space="preserve">This estimated marginal effect of credit growth is </w:t>
      </w:r>
      <w:r w:rsidR="005F0658">
        <w:rPr>
          <w:rFonts w:asciiTheme="minorHAnsi" w:hAnsiTheme="minorHAnsi" w:cstheme="minorHAnsi"/>
          <w:sz w:val="18"/>
          <w:szCs w:val="18"/>
        </w:rPr>
        <w:t xml:space="preserve">similar </w:t>
      </w:r>
      <w:r w:rsidRPr="009C5A9C">
        <w:rPr>
          <w:rFonts w:asciiTheme="minorHAnsi" w:hAnsiTheme="minorHAnsi" w:cstheme="minorHAnsi"/>
          <w:sz w:val="18"/>
          <w:szCs w:val="18"/>
        </w:rPr>
        <w:t xml:space="preserve">to that found </w:t>
      </w:r>
      <w:r>
        <w:rPr>
          <w:rFonts w:asciiTheme="minorHAnsi" w:hAnsiTheme="minorHAnsi" w:cstheme="minorHAnsi"/>
          <w:sz w:val="18"/>
          <w:szCs w:val="18"/>
        </w:rPr>
        <w:t>in</w:t>
      </w:r>
      <w:r w:rsidR="00C82D3D">
        <w:rPr>
          <w:rFonts w:asciiTheme="minorHAnsi" w:hAnsiTheme="minorHAnsi" w:cstheme="minorHAnsi"/>
          <w:sz w:val="18"/>
          <w:szCs w:val="18"/>
        </w:rPr>
        <w:t xml:space="preserve"> “</w:t>
      </w:r>
      <w:r w:rsidR="00C82D3D" w:rsidRPr="009C5A9C">
        <w:rPr>
          <w:rFonts w:asciiTheme="minorHAnsi" w:eastAsiaTheme="minorHAnsi" w:hAnsiTheme="minorHAnsi" w:cstheme="minorHAnsi"/>
          <w:sz w:val="18"/>
          <w:szCs w:val="18"/>
        </w:rPr>
        <w:t>Credit booms gone bust: Monetary</w:t>
      </w:r>
      <w:r w:rsidR="00C82D3D">
        <w:rPr>
          <w:rFonts w:asciiTheme="minorHAnsi" w:eastAsiaTheme="minorHAnsi" w:hAnsiTheme="minorHAnsi" w:cstheme="minorHAnsi"/>
          <w:sz w:val="18"/>
          <w:szCs w:val="18"/>
        </w:rPr>
        <w:t xml:space="preserve"> </w:t>
      </w:r>
      <w:r w:rsidR="00C82D3D" w:rsidRPr="009C5A9C">
        <w:rPr>
          <w:rFonts w:asciiTheme="minorHAnsi" w:eastAsiaTheme="minorHAnsi" w:hAnsiTheme="minorHAnsi" w:cstheme="minorHAnsi"/>
          <w:sz w:val="18"/>
          <w:szCs w:val="18"/>
        </w:rPr>
        <w:t>policy, leverage cycles, and financial crises, 1870-2008</w:t>
      </w:r>
      <w:r w:rsidR="00C82D3D">
        <w:rPr>
          <w:rFonts w:asciiTheme="minorHAnsi" w:eastAsiaTheme="minorHAnsi" w:hAnsiTheme="minorHAnsi" w:cstheme="minorHAnsi"/>
          <w:sz w:val="18"/>
          <w:szCs w:val="18"/>
        </w:rPr>
        <w:t>” by</w:t>
      </w:r>
      <w:r w:rsidRPr="009C5A9C">
        <w:rPr>
          <w:rFonts w:asciiTheme="minorHAnsi" w:hAnsiTheme="minorHAnsi" w:cstheme="minorHAnsi"/>
          <w:sz w:val="18"/>
          <w:szCs w:val="18"/>
        </w:rPr>
        <w:t xml:space="preserve"> </w:t>
      </w:r>
      <w:r w:rsidRPr="009C5A9C">
        <w:rPr>
          <w:rFonts w:asciiTheme="minorHAnsi" w:eastAsiaTheme="minorHAnsi" w:hAnsiTheme="minorHAnsi" w:cstheme="minorHAnsi"/>
          <w:sz w:val="18"/>
          <w:szCs w:val="18"/>
        </w:rPr>
        <w:t xml:space="preserve">Moritz </w:t>
      </w:r>
      <w:proofErr w:type="spellStart"/>
      <w:r w:rsidRPr="009C5A9C">
        <w:rPr>
          <w:rFonts w:asciiTheme="minorHAnsi" w:eastAsiaTheme="minorHAnsi" w:hAnsiTheme="minorHAnsi" w:cstheme="minorHAnsi"/>
          <w:sz w:val="18"/>
          <w:szCs w:val="18"/>
        </w:rPr>
        <w:t>Schularick</w:t>
      </w:r>
      <w:proofErr w:type="spellEnd"/>
      <w:r w:rsidRPr="009C5A9C">
        <w:rPr>
          <w:rFonts w:asciiTheme="minorHAnsi" w:eastAsiaTheme="minorHAnsi" w:hAnsiTheme="minorHAnsi" w:cstheme="minorHAnsi"/>
          <w:sz w:val="18"/>
          <w:szCs w:val="18"/>
        </w:rPr>
        <w:t xml:space="preserve"> </w:t>
      </w:r>
      <w:r w:rsidR="00C82D3D">
        <w:rPr>
          <w:rFonts w:asciiTheme="minorHAnsi" w:eastAsiaTheme="minorHAnsi" w:hAnsiTheme="minorHAnsi" w:cstheme="minorHAnsi"/>
          <w:sz w:val="18"/>
          <w:szCs w:val="18"/>
        </w:rPr>
        <w:t>and Alan M. Taylor</w:t>
      </w:r>
      <w:r w:rsidRPr="009C5A9C">
        <w:rPr>
          <w:rFonts w:asciiTheme="minorHAnsi" w:eastAsiaTheme="minorHAnsi" w:hAnsiTheme="minorHAnsi" w:cstheme="minorHAnsi"/>
          <w:sz w:val="18"/>
          <w:szCs w:val="18"/>
        </w:rPr>
        <w:t>, American Economic Review</w:t>
      </w:r>
      <w:r>
        <w:rPr>
          <w:rFonts w:asciiTheme="minorHAnsi" w:eastAsiaTheme="minorHAnsi" w:hAnsiTheme="minorHAnsi" w:cstheme="minorHAnsi"/>
          <w:sz w:val="18"/>
          <w:szCs w:val="18"/>
        </w:rPr>
        <w:t xml:space="preserve"> </w:t>
      </w:r>
      <w:r w:rsidRPr="009C5A9C">
        <w:rPr>
          <w:rFonts w:asciiTheme="minorHAnsi" w:eastAsiaTheme="minorHAnsi" w:hAnsiTheme="minorHAnsi" w:cstheme="minorHAnsi"/>
          <w:sz w:val="18"/>
          <w:szCs w:val="18"/>
        </w:rPr>
        <w:t>102(2), 1029</w:t>
      </w:r>
      <w:r>
        <w:rPr>
          <w:rFonts w:asciiTheme="minorHAnsi" w:eastAsiaTheme="minorHAnsi" w:hAnsiTheme="minorHAnsi" w:cstheme="minorHAnsi"/>
          <w:sz w:val="18"/>
          <w:szCs w:val="18"/>
        </w:rPr>
        <w:t>-</w:t>
      </w:r>
      <w:r w:rsidR="00C82D3D">
        <w:rPr>
          <w:rFonts w:asciiTheme="minorHAnsi" w:eastAsiaTheme="minorHAnsi" w:hAnsiTheme="minorHAnsi" w:cstheme="minorHAnsi"/>
          <w:sz w:val="18"/>
          <w:szCs w:val="18"/>
        </w:rPr>
        <w:t>1061 (2012)</w:t>
      </w:r>
    </w:p>
  </w:footnote>
  <w:footnote w:id="4">
    <w:p w:rsidR="009C5A9C" w:rsidRPr="00C82D3D" w:rsidRDefault="009C5A9C">
      <w:pPr>
        <w:pStyle w:val="FootnoteText"/>
        <w:rPr>
          <w:rFonts w:asciiTheme="minorHAnsi" w:hAnsiTheme="minorHAnsi" w:cstheme="minorHAnsi"/>
          <w:sz w:val="18"/>
          <w:szCs w:val="18"/>
        </w:rPr>
      </w:pPr>
      <w:r w:rsidRPr="00C82D3D">
        <w:rPr>
          <w:rStyle w:val="FootnoteReference"/>
          <w:rFonts w:asciiTheme="minorHAnsi" w:hAnsiTheme="minorHAnsi" w:cstheme="minorHAnsi"/>
          <w:sz w:val="18"/>
          <w:szCs w:val="18"/>
        </w:rPr>
        <w:footnoteRef/>
      </w:r>
      <w:r w:rsidRPr="00C82D3D">
        <w:rPr>
          <w:rFonts w:asciiTheme="minorHAnsi" w:hAnsiTheme="minorHAnsi" w:cstheme="minorHAnsi"/>
          <w:sz w:val="18"/>
          <w:szCs w:val="18"/>
        </w:rPr>
        <w:t xml:space="preserve"> The details about these regressions can be found in </w:t>
      </w:r>
      <w:r w:rsidR="00C82D3D" w:rsidRPr="00C82D3D">
        <w:rPr>
          <w:rFonts w:asciiTheme="minorHAnsi" w:hAnsiTheme="minorHAnsi" w:cstheme="minorHAnsi"/>
          <w:sz w:val="18"/>
          <w:szCs w:val="18"/>
        </w:rPr>
        <w:t>“Credit Booms, Banking Crises, and the Current Accoun</w:t>
      </w:r>
      <w:r w:rsidR="00DC69AC">
        <w:rPr>
          <w:rFonts w:asciiTheme="minorHAnsi" w:hAnsiTheme="minorHAnsi" w:cstheme="minorHAnsi"/>
          <w:sz w:val="18"/>
          <w:szCs w:val="18"/>
        </w:rPr>
        <w:t>t”, by</w:t>
      </w:r>
      <w:r w:rsidR="00C82D3D" w:rsidRPr="00C82D3D">
        <w:rPr>
          <w:rFonts w:asciiTheme="minorHAnsi" w:hAnsiTheme="minorHAnsi" w:cstheme="minorHAnsi"/>
          <w:sz w:val="18"/>
          <w:szCs w:val="18"/>
        </w:rPr>
        <w:t xml:space="preserve"> </w:t>
      </w:r>
      <w:r w:rsidRPr="00C82D3D">
        <w:rPr>
          <w:rFonts w:asciiTheme="minorHAnsi" w:hAnsiTheme="minorHAnsi" w:cstheme="minorHAnsi"/>
          <w:sz w:val="18"/>
          <w:szCs w:val="18"/>
        </w:rPr>
        <w:t xml:space="preserve">J. Scott Davis, Adrienne Mack, </w:t>
      </w:r>
      <w:r w:rsidR="00C82D3D" w:rsidRPr="00C82D3D">
        <w:rPr>
          <w:rFonts w:asciiTheme="minorHAnsi" w:hAnsiTheme="minorHAnsi" w:cstheme="minorHAnsi"/>
          <w:sz w:val="18"/>
          <w:szCs w:val="18"/>
        </w:rPr>
        <w:t>Wesley Phoa and Anne Vandenabeele, Federal Reserve Bank of Dallas, Globalization and Monetary Policy Institute Working Paper No. 178 (May 2014)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A810D2"/>
    <w:multiLevelType w:val="hybridMultilevel"/>
    <w:tmpl w:val="0A8010B0"/>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
    <w:nsid w:val="35F83C58"/>
    <w:multiLevelType w:val="hybridMultilevel"/>
    <w:tmpl w:val="0F52339E"/>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
    <w:nsid w:val="3B125399"/>
    <w:multiLevelType w:val="hybridMultilevel"/>
    <w:tmpl w:val="21C4A0A4"/>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3">
    <w:nsid w:val="3CE55029"/>
    <w:multiLevelType w:val="hybridMultilevel"/>
    <w:tmpl w:val="EFDEA5B2"/>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FEB"/>
    <w:rsid w:val="000251FD"/>
    <w:rsid w:val="000416FD"/>
    <w:rsid w:val="000764CD"/>
    <w:rsid w:val="00076705"/>
    <w:rsid w:val="000B5D2A"/>
    <w:rsid w:val="00152D1B"/>
    <w:rsid w:val="001C6059"/>
    <w:rsid w:val="001E630A"/>
    <w:rsid w:val="001F0B3A"/>
    <w:rsid w:val="00226D86"/>
    <w:rsid w:val="002E1491"/>
    <w:rsid w:val="00307469"/>
    <w:rsid w:val="003227BB"/>
    <w:rsid w:val="0036591B"/>
    <w:rsid w:val="00372C32"/>
    <w:rsid w:val="00375072"/>
    <w:rsid w:val="00383ED3"/>
    <w:rsid w:val="003A6B46"/>
    <w:rsid w:val="003B0A5A"/>
    <w:rsid w:val="004A068A"/>
    <w:rsid w:val="00540211"/>
    <w:rsid w:val="00554663"/>
    <w:rsid w:val="005806EA"/>
    <w:rsid w:val="005A2ED3"/>
    <w:rsid w:val="005F0658"/>
    <w:rsid w:val="00603F75"/>
    <w:rsid w:val="00630F29"/>
    <w:rsid w:val="0066447B"/>
    <w:rsid w:val="006A3EBF"/>
    <w:rsid w:val="006B67B9"/>
    <w:rsid w:val="006C0DB8"/>
    <w:rsid w:val="007000F7"/>
    <w:rsid w:val="00701372"/>
    <w:rsid w:val="00706666"/>
    <w:rsid w:val="007223A6"/>
    <w:rsid w:val="007D30EE"/>
    <w:rsid w:val="008223F9"/>
    <w:rsid w:val="008540BF"/>
    <w:rsid w:val="0093238B"/>
    <w:rsid w:val="00972E37"/>
    <w:rsid w:val="00983007"/>
    <w:rsid w:val="00990FEB"/>
    <w:rsid w:val="009A6FBB"/>
    <w:rsid w:val="009C5A9C"/>
    <w:rsid w:val="009D187D"/>
    <w:rsid w:val="00A73367"/>
    <w:rsid w:val="00A96BB3"/>
    <w:rsid w:val="00AD2F98"/>
    <w:rsid w:val="00B66034"/>
    <w:rsid w:val="00BA6958"/>
    <w:rsid w:val="00C31901"/>
    <w:rsid w:val="00C35221"/>
    <w:rsid w:val="00C63BDD"/>
    <w:rsid w:val="00C82D3D"/>
    <w:rsid w:val="00D02A2F"/>
    <w:rsid w:val="00D257BA"/>
    <w:rsid w:val="00D45BFA"/>
    <w:rsid w:val="00DB0E87"/>
    <w:rsid w:val="00DC69AC"/>
    <w:rsid w:val="00DE35E0"/>
    <w:rsid w:val="00DF0880"/>
    <w:rsid w:val="00DF16F1"/>
    <w:rsid w:val="00E0799D"/>
    <w:rsid w:val="00E22F78"/>
    <w:rsid w:val="00E278F2"/>
    <w:rsid w:val="00E404C4"/>
    <w:rsid w:val="00E50A1E"/>
    <w:rsid w:val="00E57A60"/>
    <w:rsid w:val="00E9245E"/>
    <w:rsid w:val="00F34094"/>
    <w:rsid w:val="00F43974"/>
    <w:rsid w:val="00F71142"/>
    <w:rsid w:val="00F736A5"/>
    <w:rsid w:val="00FA29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FE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990FEB"/>
    <w:rPr>
      <w:sz w:val="20"/>
      <w:szCs w:val="20"/>
    </w:rPr>
  </w:style>
  <w:style w:type="character" w:customStyle="1" w:styleId="FootnoteTextChar">
    <w:name w:val="Footnote Text Char"/>
    <w:basedOn w:val="DefaultParagraphFont"/>
    <w:link w:val="FootnoteText"/>
    <w:semiHidden/>
    <w:rsid w:val="00990FEB"/>
    <w:rPr>
      <w:rFonts w:ascii="Times New Roman" w:eastAsia="Times New Roman" w:hAnsi="Times New Roman" w:cs="Times New Roman"/>
      <w:sz w:val="20"/>
      <w:szCs w:val="20"/>
    </w:rPr>
  </w:style>
  <w:style w:type="character" w:styleId="FootnoteReference">
    <w:name w:val="footnote reference"/>
    <w:basedOn w:val="DefaultParagraphFont"/>
    <w:semiHidden/>
    <w:rsid w:val="00990FEB"/>
    <w:rPr>
      <w:vertAlign w:val="superscript"/>
    </w:rPr>
  </w:style>
  <w:style w:type="paragraph" w:styleId="Caption">
    <w:name w:val="caption"/>
    <w:basedOn w:val="Normal"/>
    <w:next w:val="Normal"/>
    <w:unhideWhenUsed/>
    <w:qFormat/>
    <w:rsid w:val="00990FEB"/>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990FEB"/>
    <w:rPr>
      <w:rFonts w:ascii="Tahoma" w:hAnsi="Tahoma" w:cs="Tahoma"/>
      <w:sz w:val="16"/>
      <w:szCs w:val="16"/>
    </w:rPr>
  </w:style>
  <w:style w:type="character" w:customStyle="1" w:styleId="BalloonTextChar">
    <w:name w:val="Balloon Text Char"/>
    <w:basedOn w:val="DefaultParagraphFont"/>
    <w:link w:val="BalloonText"/>
    <w:uiPriority w:val="99"/>
    <w:semiHidden/>
    <w:rsid w:val="00990FEB"/>
    <w:rPr>
      <w:rFonts w:ascii="Tahoma" w:eastAsia="Times New Roman" w:hAnsi="Tahoma" w:cs="Tahoma"/>
      <w:sz w:val="16"/>
      <w:szCs w:val="16"/>
    </w:rPr>
  </w:style>
  <w:style w:type="paragraph" w:styleId="ListParagraph">
    <w:name w:val="List Paragraph"/>
    <w:basedOn w:val="Normal"/>
    <w:uiPriority w:val="34"/>
    <w:qFormat/>
    <w:rsid w:val="00B6603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FE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990FEB"/>
    <w:rPr>
      <w:sz w:val="20"/>
      <w:szCs w:val="20"/>
    </w:rPr>
  </w:style>
  <w:style w:type="character" w:customStyle="1" w:styleId="FootnoteTextChar">
    <w:name w:val="Footnote Text Char"/>
    <w:basedOn w:val="DefaultParagraphFont"/>
    <w:link w:val="FootnoteText"/>
    <w:semiHidden/>
    <w:rsid w:val="00990FEB"/>
    <w:rPr>
      <w:rFonts w:ascii="Times New Roman" w:eastAsia="Times New Roman" w:hAnsi="Times New Roman" w:cs="Times New Roman"/>
      <w:sz w:val="20"/>
      <w:szCs w:val="20"/>
    </w:rPr>
  </w:style>
  <w:style w:type="character" w:styleId="FootnoteReference">
    <w:name w:val="footnote reference"/>
    <w:basedOn w:val="DefaultParagraphFont"/>
    <w:semiHidden/>
    <w:rsid w:val="00990FEB"/>
    <w:rPr>
      <w:vertAlign w:val="superscript"/>
    </w:rPr>
  </w:style>
  <w:style w:type="paragraph" w:styleId="Caption">
    <w:name w:val="caption"/>
    <w:basedOn w:val="Normal"/>
    <w:next w:val="Normal"/>
    <w:unhideWhenUsed/>
    <w:qFormat/>
    <w:rsid w:val="00990FEB"/>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990FEB"/>
    <w:rPr>
      <w:rFonts w:ascii="Tahoma" w:hAnsi="Tahoma" w:cs="Tahoma"/>
      <w:sz w:val="16"/>
      <w:szCs w:val="16"/>
    </w:rPr>
  </w:style>
  <w:style w:type="character" w:customStyle="1" w:styleId="BalloonTextChar">
    <w:name w:val="Balloon Text Char"/>
    <w:basedOn w:val="DefaultParagraphFont"/>
    <w:link w:val="BalloonText"/>
    <w:uiPriority w:val="99"/>
    <w:semiHidden/>
    <w:rsid w:val="00990FEB"/>
    <w:rPr>
      <w:rFonts w:ascii="Tahoma" w:eastAsia="Times New Roman" w:hAnsi="Tahoma" w:cs="Tahoma"/>
      <w:sz w:val="16"/>
      <w:szCs w:val="16"/>
    </w:rPr>
  </w:style>
  <w:style w:type="paragraph" w:styleId="ListParagraph">
    <w:name w:val="List Paragraph"/>
    <w:basedOn w:val="Normal"/>
    <w:uiPriority w:val="34"/>
    <w:qFormat/>
    <w:rsid w:val="00B660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216230">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1FD3D-345E-4460-B558-F96E1D98A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534</TotalTime>
  <Pages>7</Pages>
  <Words>1907</Words>
  <Characters>10874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Federal Reserve System</Company>
  <LinksUpToDate>false</LinksUpToDate>
  <CharactersWithSpaces>12756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Davis, Scott</dc:creator>
  <cp:lastModifiedBy>Davis, Scott</cp:lastModifiedBy>
  <cp:revision>17</cp:revision>
  <dcterms:created xsi:type="dcterms:W3CDTF">2014-05-05T15:52:00Z</dcterms:created>
  <dcterms:modified xsi:type="dcterms:W3CDTF">2014-10-08T14:53:00Z</dcterms:modified>
</cp:coreProperties>
</file>